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267" w14:textId="77777777" w:rsidR="0090170F" w:rsidRPr="0050120E" w:rsidRDefault="0090170F" w:rsidP="0090170F">
      <w:pPr>
        <w:jc w:val="center"/>
        <w:rPr>
          <w:b/>
          <w:color w:val="365F91" w:themeColor="accent1" w:themeShade="BF"/>
        </w:rPr>
      </w:pPr>
      <w:r>
        <w:rPr>
          <w:b/>
          <w:color w:val="365F91" w:themeColor="accent1" w:themeShade="BF"/>
        </w:rPr>
        <w:t xml:space="preserve">First session of the </w:t>
      </w:r>
      <w:r w:rsidRPr="0050120E">
        <w:rPr>
          <w:b/>
          <w:color w:val="365F91" w:themeColor="accent1" w:themeShade="BF"/>
        </w:rPr>
        <w:t>Intergovernmental Negotiating Committee</w:t>
      </w:r>
      <w:r>
        <w:rPr>
          <w:b/>
          <w:color w:val="365F91" w:themeColor="accent1" w:themeShade="BF"/>
        </w:rPr>
        <w:t xml:space="preserve"> to develop an internationally legally binding instrument on plastic pollution, including in the marine environment (INC- 1)</w:t>
      </w:r>
    </w:p>
    <w:p w14:paraId="6D250538" w14:textId="77777777" w:rsidR="0090170F" w:rsidRDefault="0090170F" w:rsidP="0090170F">
      <w:pPr>
        <w:jc w:val="center"/>
        <w:rPr>
          <w:bCs/>
          <w:color w:val="365F91" w:themeColor="accent1" w:themeShade="BF"/>
          <w:sz w:val="20"/>
          <w:szCs w:val="20"/>
        </w:rPr>
      </w:pPr>
      <w:r>
        <w:rPr>
          <w:bCs/>
          <w:color w:val="365F91" w:themeColor="accent1" w:themeShade="BF"/>
          <w:sz w:val="20"/>
          <w:szCs w:val="20"/>
        </w:rPr>
        <w:t>26 November – 2 December</w:t>
      </w:r>
      <w:r w:rsidRPr="00707E87">
        <w:rPr>
          <w:bCs/>
          <w:color w:val="365F91" w:themeColor="accent1" w:themeShade="BF"/>
          <w:sz w:val="20"/>
          <w:szCs w:val="20"/>
        </w:rPr>
        <w:t xml:space="preserve"> 2022</w:t>
      </w:r>
    </w:p>
    <w:p w14:paraId="4D4D8528" w14:textId="31FA3B21" w:rsidR="00912AB1" w:rsidRPr="00E15BC6" w:rsidRDefault="00912AB1" w:rsidP="00E15BC6">
      <w:pPr>
        <w:jc w:val="center"/>
        <w:rPr>
          <w:rFonts w:ascii="Calibri" w:hAnsi="Calibri" w:cs="Calibri"/>
          <w:b/>
          <w:bCs/>
          <w:color w:val="1F497D"/>
          <w:sz w:val="22"/>
          <w:szCs w:val="22"/>
          <w:lang w:eastAsia="en-AU"/>
          <w14:textOutline w14:w="0" w14:cap="flat" w14:cmpd="sng" w14:algn="ctr">
            <w14:noFill/>
            <w14:prstDash w14:val="solid"/>
            <w14:bevel/>
          </w14:textOutline>
        </w:rPr>
      </w:pPr>
    </w:p>
    <w:p w14:paraId="67BB3488" w14:textId="528D18AA" w:rsidR="00912AB1" w:rsidRPr="00E15BC6" w:rsidRDefault="00912AB1" w:rsidP="00E15BC6">
      <w:pPr>
        <w:jc w:val="center"/>
        <w:rPr>
          <w:rFonts w:ascii="Calibri" w:hAnsi="Calibri" w:cs="Calibri"/>
          <w:b/>
          <w:bCs/>
          <w:color w:val="1F497D"/>
          <w:sz w:val="22"/>
          <w:szCs w:val="22"/>
          <w:lang w:eastAsia="en-AU"/>
          <w14:textOutline w14:w="0" w14:cap="flat" w14:cmpd="sng" w14:algn="ctr">
            <w14:noFill/>
            <w14:prstDash w14:val="solid"/>
            <w14:bevel/>
          </w14:textOutline>
        </w:rPr>
      </w:pPr>
      <w:r w:rsidRPr="00E15BC6">
        <w:rPr>
          <w:rFonts w:ascii="Calibri" w:hAnsi="Calibri" w:cs="Calibri"/>
          <w:b/>
          <w:bCs/>
          <w:color w:val="1F497D"/>
          <w:sz w:val="22"/>
          <w:szCs w:val="22"/>
          <w:lang w:eastAsia="en-AU"/>
          <w14:textOutline w14:w="0" w14:cap="flat" w14:cmpd="sng" w14:algn="ctr">
            <w14:noFill/>
            <w14:prstDash w14:val="solid"/>
            <w14:bevel/>
          </w14:textOutline>
        </w:rPr>
        <w:t>MEMBERS BRIEFING NOTE</w:t>
      </w:r>
    </w:p>
    <w:p w14:paraId="42A197CE" w14:textId="4C49A3B6" w:rsidR="00912AB1" w:rsidRPr="00E15BC6" w:rsidRDefault="00912AB1" w:rsidP="00924854">
      <w:pPr>
        <w:rPr>
          <w:rFonts w:ascii="Calibri" w:hAnsi="Calibri" w:cs="Calibri"/>
          <w:b/>
          <w:bCs/>
          <w:color w:val="1F497D"/>
          <w:sz w:val="22"/>
          <w:szCs w:val="22"/>
          <w:lang w:eastAsia="en-AU"/>
          <w14:textOutline w14:w="0" w14:cap="flat" w14:cmpd="sng" w14:algn="ctr">
            <w14:noFill/>
            <w14:prstDash w14:val="solid"/>
            <w14:bevel/>
          </w14:textOutline>
        </w:rPr>
      </w:pPr>
    </w:p>
    <w:p w14:paraId="5730EF2B" w14:textId="533BE304" w:rsidR="00A72BF0" w:rsidRDefault="0090170F" w:rsidP="00E15BC6">
      <w:pPr>
        <w:pStyle w:val="Default"/>
        <w:rPr>
          <w:b/>
          <w:bCs/>
          <w:color w:val="1F497D"/>
          <w:sz w:val="22"/>
          <w:szCs w:val="22"/>
          <w14:textOutline w14:w="0" w14:cap="flat" w14:cmpd="sng" w14:algn="ctr">
            <w14:noFill/>
            <w14:prstDash w14:val="solid"/>
            <w14:bevel/>
          </w14:textOutline>
        </w:rPr>
      </w:pPr>
      <w:r>
        <w:rPr>
          <w:b/>
          <w:bCs/>
          <w:color w:val="1F497D"/>
          <w:sz w:val="22"/>
          <w:szCs w:val="22"/>
          <w14:textOutline w14:w="0" w14:cap="flat" w14:cmpd="sng" w14:algn="ctr">
            <w14:noFill/>
            <w14:prstDash w14:val="solid"/>
            <w14:bevel/>
          </w14:textOutline>
        </w:rPr>
        <w:t xml:space="preserve">Cluster # </w:t>
      </w:r>
      <w:r w:rsidR="00023D94">
        <w:rPr>
          <w:b/>
          <w:bCs/>
          <w:color w:val="1F497D"/>
          <w:sz w:val="22"/>
          <w:szCs w:val="22"/>
          <w14:textOutline w14:w="0" w14:cap="flat" w14:cmpd="sng" w14:algn="ctr">
            <w14:noFill/>
            <w14:prstDash w14:val="solid"/>
            <w14:bevel/>
          </w14:textOutline>
        </w:rPr>
        <w:t>5</w:t>
      </w:r>
      <w:r>
        <w:rPr>
          <w:b/>
          <w:bCs/>
          <w:color w:val="1F497D"/>
          <w:sz w:val="22"/>
          <w:szCs w:val="22"/>
          <w14:textOutline w14:w="0" w14:cap="flat" w14:cmpd="sng" w14:algn="ctr">
            <w14:noFill/>
            <w14:prstDash w14:val="solid"/>
            <w14:bevel/>
          </w14:textOutline>
        </w:rPr>
        <w:t xml:space="preserve">: </w:t>
      </w:r>
      <w:r w:rsidR="00023D94" w:rsidRPr="00023D94">
        <w:rPr>
          <w:b/>
          <w:bCs/>
          <w:color w:val="1F497D"/>
          <w:sz w:val="22"/>
          <w:szCs w:val="22"/>
          <w:u w:val="single"/>
          <w14:textOutline w14:w="0" w14:cap="flat" w14:cmpd="sng" w14:algn="ctr">
            <w14:noFill/>
            <w14:prstDash w14:val="solid"/>
            <w14:bevel/>
          </w14:textOutline>
        </w:rPr>
        <w:t>Environmentally Sound Waste Management</w:t>
      </w:r>
    </w:p>
    <w:p w14:paraId="0BCA7F97" w14:textId="728D7D06" w:rsidR="0090170F" w:rsidRDefault="0090170F" w:rsidP="00E15BC6">
      <w:pPr>
        <w:pStyle w:val="Default"/>
        <w:rPr>
          <w:b/>
          <w:bCs/>
          <w:color w:val="1F497D"/>
          <w:sz w:val="22"/>
          <w:szCs w:val="22"/>
          <w14:textOutline w14:w="0" w14:cap="flat" w14:cmpd="sng" w14:algn="ctr">
            <w14:noFill/>
            <w14:prstDash w14:val="solid"/>
            <w14:bevel/>
          </w14:textOutline>
        </w:rPr>
      </w:pPr>
    </w:p>
    <w:p w14:paraId="0FD3AB8E" w14:textId="7F66262C" w:rsidR="00E15BC6" w:rsidRPr="00CD7945" w:rsidRDefault="00E15BC6" w:rsidP="00CD7945">
      <w:pPr>
        <w:pStyle w:val="ListParagraph"/>
        <w:numPr>
          <w:ilvl w:val="0"/>
          <w:numId w:val="28"/>
        </w:numPr>
        <w:rPr>
          <w:rFonts w:ascii="Arial" w:hAnsi="Arial" w:cs="Arial"/>
          <w:b/>
          <w:bCs/>
          <w:sz w:val="22"/>
          <w:szCs w:val="22"/>
        </w:rPr>
      </w:pPr>
      <w:r w:rsidRPr="00CD7945">
        <w:rPr>
          <w:rFonts w:ascii="Calibri" w:eastAsia="Times New Roman" w:hAnsi="Calibri" w:cs="Calibri"/>
          <w:b/>
          <w:bCs/>
          <w:sz w:val="22"/>
          <w:szCs w:val="22"/>
        </w:rPr>
        <w:t>Background</w:t>
      </w:r>
      <w:r w:rsidRPr="00CD7945">
        <w:rPr>
          <w:rFonts w:ascii="Arial" w:hAnsi="Arial" w:cs="Arial"/>
          <w:b/>
          <w:bCs/>
          <w:sz w:val="22"/>
          <w:szCs w:val="22"/>
        </w:rPr>
        <w:t xml:space="preserve"> Information</w:t>
      </w:r>
      <w:r w:rsidR="005F4374">
        <w:rPr>
          <w:rStyle w:val="FootnoteReference"/>
          <w:rFonts w:ascii="Arial" w:hAnsi="Arial" w:cs="Arial"/>
          <w:b/>
          <w:bCs/>
          <w:sz w:val="22"/>
          <w:szCs w:val="22"/>
        </w:rPr>
        <w:footnoteReference w:id="1"/>
      </w:r>
    </w:p>
    <w:p w14:paraId="49C7DAF3" w14:textId="77777777" w:rsidR="00930223" w:rsidRPr="004C637F" w:rsidRDefault="00930223" w:rsidP="00E15BC6">
      <w:pPr>
        <w:rPr>
          <w:rFonts w:ascii="Arial" w:hAnsi="Arial" w:cs="Arial"/>
          <w:b/>
          <w:bCs/>
          <w:sz w:val="22"/>
          <w:szCs w:val="22"/>
        </w:rPr>
      </w:pPr>
    </w:p>
    <w:p w14:paraId="1AF0E733" w14:textId="77777777" w:rsidR="005F4374" w:rsidRDefault="00930223" w:rsidP="0090170F">
      <w:pPr>
        <w:jc w:val="both"/>
        <w:rPr>
          <w:rFonts w:ascii="Arial" w:hAnsi="Arial" w:cs="Arial"/>
          <w:sz w:val="22"/>
          <w:szCs w:val="22"/>
        </w:rPr>
      </w:pPr>
      <w:r w:rsidRPr="004C637F">
        <w:rPr>
          <w:rFonts w:ascii="Arial" w:hAnsi="Arial" w:cs="Arial"/>
          <w:sz w:val="22"/>
          <w:szCs w:val="22"/>
        </w:rPr>
        <w:t xml:space="preserve">Under this cluster, negotiators must consider the role of the agreement in addressing the ‘downstream’ stage of the plastics life cycle - environmentally sound waste management (ESM). Separating out discussions on ESM from midstream and upstream stages is critical to avoid conflation and develop measures tailored to the very end of the plastics life cycle once all other options for its retention in the economy have been exhausted. As waste management (i.e. downstream) approaches inherently rely upon measures enacted further upstream, EIA and CIEL believe such discussions could take place later in negotiations after core provisions for upstream and mid-stream have been agreed. This cluster will require consideration of how this work will align with efforts already underway under the Basel Convention, which has attempted (rather imperfectly) to describe and address it but not within the context of resource efficiency and circular economy approaches and in the absence of robust means of implementation. For example, it will be essential to differentiate between mechanical and so-called ‘chemical’ (or ‘advanced’) recycling in the context of the discussion on circularity and resource efficiency. Chemical recycling is a term that has been used to describe multiple technologies that 4 thermally or chemically destroy plastic at very high heats, such as pyrolysis and gasification, with little resemblance to mechanical recycling and much greater environmental and climate impacts. </w:t>
      </w:r>
    </w:p>
    <w:p w14:paraId="07EE7680" w14:textId="77777777" w:rsidR="005F4374" w:rsidRDefault="005F4374" w:rsidP="0090170F">
      <w:pPr>
        <w:jc w:val="both"/>
        <w:rPr>
          <w:rFonts w:ascii="Arial" w:hAnsi="Arial" w:cs="Arial"/>
          <w:sz w:val="22"/>
          <w:szCs w:val="22"/>
        </w:rPr>
      </w:pPr>
    </w:p>
    <w:p w14:paraId="31AF043E" w14:textId="77777777" w:rsidR="005F4374" w:rsidRDefault="00930223" w:rsidP="0090170F">
      <w:pPr>
        <w:jc w:val="both"/>
        <w:rPr>
          <w:rFonts w:ascii="Arial" w:hAnsi="Arial" w:cs="Arial"/>
          <w:sz w:val="22"/>
          <w:szCs w:val="22"/>
        </w:rPr>
      </w:pPr>
      <w:r w:rsidRPr="004C637F">
        <w:rPr>
          <w:rFonts w:ascii="Arial" w:hAnsi="Arial" w:cs="Arial"/>
          <w:sz w:val="22"/>
          <w:szCs w:val="22"/>
        </w:rPr>
        <w:t xml:space="preserve">EIA and CIEL recommend that the Basel Secretariat engage fully in the INC negotiations with a view to identify areas of necessary development for the Draft Guidelines for Environmentally Sound Management of Plastic Waste (ESM Guidelines). It will be particularly important to focus on areas requiring significant development, including priority orders of action for waste management operations that consider hazardous emissions, efficiency scenarios of different recycling processes and climate trade-offs. For example, negotiators will need to consider when incineration, waste-to-energy and other end-of-life treatments fall out of the scope of ‘environmentally sound’ – something not elaborated upon in the existing ESM guidelines. As a priority, negotiators must develop the Basel Convention’s existing work and to advance legally binding provisions on waste management. </w:t>
      </w:r>
    </w:p>
    <w:p w14:paraId="17508BD3" w14:textId="77777777" w:rsidR="005F4374" w:rsidRDefault="005F4374" w:rsidP="0090170F">
      <w:pPr>
        <w:jc w:val="both"/>
        <w:rPr>
          <w:rFonts w:ascii="Arial" w:hAnsi="Arial" w:cs="Arial"/>
          <w:sz w:val="22"/>
          <w:szCs w:val="22"/>
        </w:rPr>
      </w:pPr>
    </w:p>
    <w:p w14:paraId="6F9928D4" w14:textId="779B2E6A" w:rsidR="0090170F" w:rsidRPr="004C637F" w:rsidRDefault="00930223" w:rsidP="0090170F">
      <w:pPr>
        <w:jc w:val="both"/>
        <w:rPr>
          <w:rFonts w:ascii="Arial" w:hAnsi="Arial" w:cs="Arial"/>
          <w:sz w:val="22"/>
          <w:szCs w:val="22"/>
        </w:rPr>
      </w:pPr>
      <w:r w:rsidRPr="004C637F">
        <w:rPr>
          <w:rFonts w:ascii="Arial" w:hAnsi="Arial" w:cs="Arial"/>
          <w:sz w:val="22"/>
          <w:szCs w:val="22"/>
        </w:rPr>
        <w:lastRenderedPageBreak/>
        <w:t>Further to this, EIA and CIEL advise negotiators deploy ‘systems thinking’ as a diagnostic tool when considering what constitutes ESM. This involves contemplating how outputs and impacts of different waste management methods can influence one another within integrated systems such as ecosystems and the wider environment. For example, landfilling plastic waste with a single as opposed to a double liner may be considered ‘environmentally sound’, but this would not consider toxic effluent polluting aquifers or water which is destined for human consumption. This is especially important considering the ability for plastic pollution and associated chemicals to migrate through physical and biological systems, having secondary, tertiary, and compounding impacts.</w:t>
      </w:r>
    </w:p>
    <w:p w14:paraId="2B2278AB" w14:textId="77777777" w:rsidR="00930223" w:rsidRPr="004C637F" w:rsidRDefault="00930223" w:rsidP="0090170F">
      <w:pPr>
        <w:jc w:val="both"/>
        <w:rPr>
          <w:rFonts w:ascii="Arial" w:hAnsi="Arial" w:cs="Arial"/>
          <w:b/>
          <w:bCs/>
          <w:color w:val="000000" w:themeColor="text1"/>
          <w:sz w:val="22"/>
          <w:szCs w:val="22"/>
        </w:rPr>
      </w:pPr>
    </w:p>
    <w:p w14:paraId="1F16BFDC" w14:textId="77777777" w:rsidR="00932009" w:rsidRDefault="00932009" w:rsidP="00932009">
      <w:pPr>
        <w:pStyle w:val="BodyA"/>
        <w:tabs>
          <w:tab w:val="left" w:pos="3045"/>
        </w:tabs>
        <w:rPr>
          <w:rFonts w:ascii="Arial" w:eastAsia="Arial" w:hAnsi="Arial" w:cs="Arial"/>
        </w:rPr>
      </w:pPr>
    </w:p>
    <w:p w14:paraId="46CB1C09" w14:textId="77777777" w:rsidR="00932009" w:rsidRDefault="00932009" w:rsidP="00932009"/>
    <w:p w14:paraId="78FF5930" w14:textId="77777777" w:rsidR="00932009" w:rsidRDefault="00932009" w:rsidP="00932009">
      <w:r>
        <w:rPr>
          <w:b/>
          <w:bCs/>
        </w:rPr>
        <w:t xml:space="preserve">2. </w:t>
      </w:r>
      <w:r w:rsidRPr="00185BAA">
        <w:rPr>
          <w:rFonts w:ascii="Calibri" w:eastAsia="Times New Roman" w:hAnsi="Calibri" w:cs="Calibri"/>
          <w:b/>
          <w:bCs/>
          <w:sz w:val="22"/>
          <w:szCs w:val="22"/>
        </w:rPr>
        <w:t>Potential questions that could facilitate discussions at the first session</w:t>
      </w:r>
    </w:p>
    <w:p w14:paraId="770D710F" w14:textId="77777777" w:rsidR="00932009" w:rsidRDefault="00932009" w:rsidP="00932009">
      <w:r>
        <w:t>The following table is based on the concept note developed by the Secretariat of the INC.</w:t>
      </w:r>
    </w:p>
    <w:p w14:paraId="59B73892" w14:textId="77777777" w:rsidR="00932009" w:rsidRPr="005B4B3E" w:rsidRDefault="00932009" w:rsidP="00932009"/>
    <w:tbl>
      <w:tblPr>
        <w:tblStyle w:val="TableGrid"/>
        <w:tblW w:w="14312" w:type="dxa"/>
        <w:tblInd w:w="-856" w:type="dxa"/>
        <w:tblLook w:val="04A0" w:firstRow="1" w:lastRow="0" w:firstColumn="1" w:lastColumn="0" w:noHBand="0" w:noVBand="1"/>
      </w:tblPr>
      <w:tblGrid>
        <w:gridCol w:w="2972"/>
        <w:gridCol w:w="6095"/>
        <w:gridCol w:w="5245"/>
      </w:tblGrid>
      <w:tr w:rsidR="00932009" w:rsidRPr="005B4B3E" w14:paraId="421BED5A" w14:textId="77777777" w:rsidTr="00932009">
        <w:tc>
          <w:tcPr>
            <w:tcW w:w="2972" w:type="dxa"/>
            <w:tcBorders>
              <w:bottom w:val="single" w:sz="4" w:space="0" w:color="auto"/>
            </w:tcBorders>
          </w:tcPr>
          <w:p w14:paraId="65021712" w14:textId="77777777" w:rsidR="00932009" w:rsidRPr="005B4B3E" w:rsidRDefault="00932009" w:rsidP="00C43554">
            <w:pPr>
              <w:rPr>
                <w:rFonts w:ascii="Calibri" w:eastAsia="Times New Roman" w:hAnsi="Calibri" w:cs="Calibri"/>
                <w:b/>
                <w:bCs/>
                <w:color w:val="000000"/>
                <w:sz w:val="22"/>
                <w:szCs w:val="22"/>
                <w:lang w:eastAsia="en-GB"/>
              </w:rPr>
            </w:pPr>
            <w:r w:rsidRPr="005B4B3E">
              <w:rPr>
                <w:rFonts w:ascii="Calibri" w:eastAsia="Times New Roman" w:hAnsi="Calibri" w:cs="Calibri"/>
                <w:b/>
                <w:bCs/>
                <w:color w:val="000000"/>
                <w:sz w:val="22"/>
                <w:szCs w:val="22"/>
                <w:lang w:eastAsia="en-GB"/>
              </w:rPr>
              <w:t xml:space="preserve">INC </w:t>
            </w:r>
            <w:proofErr w:type="gramStart"/>
            <w:r w:rsidRPr="005B4B3E">
              <w:rPr>
                <w:rFonts w:ascii="Calibri" w:eastAsia="Times New Roman" w:hAnsi="Calibri" w:cs="Calibri"/>
                <w:b/>
                <w:bCs/>
                <w:color w:val="000000"/>
                <w:sz w:val="22"/>
                <w:szCs w:val="22"/>
                <w:lang w:eastAsia="en-GB"/>
              </w:rPr>
              <w:t>concept</w:t>
            </w:r>
            <w:proofErr w:type="gramEnd"/>
            <w:r w:rsidRPr="005B4B3E">
              <w:rPr>
                <w:rFonts w:ascii="Calibri" w:eastAsia="Times New Roman" w:hAnsi="Calibri" w:cs="Calibri"/>
                <w:b/>
                <w:bCs/>
                <w:color w:val="000000"/>
                <w:sz w:val="22"/>
                <w:szCs w:val="22"/>
                <w:lang w:eastAsia="en-GB"/>
              </w:rPr>
              <w:t xml:space="preserve"> note element</w:t>
            </w:r>
          </w:p>
        </w:tc>
        <w:tc>
          <w:tcPr>
            <w:tcW w:w="6095" w:type="dxa"/>
            <w:tcBorders>
              <w:bottom w:val="single" w:sz="4" w:space="0" w:color="auto"/>
            </w:tcBorders>
          </w:tcPr>
          <w:p w14:paraId="1C3C0C2C" w14:textId="77777777" w:rsidR="00932009" w:rsidRPr="005B4B3E" w:rsidRDefault="00932009" w:rsidP="00C43554">
            <w:pPr>
              <w:rPr>
                <w:rFonts w:ascii="Calibri" w:eastAsia="Times New Roman" w:hAnsi="Calibri" w:cs="Calibri"/>
                <w:b/>
                <w:bCs/>
                <w:color w:val="000000"/>
                <w:sz w:val="22"/>
                <w:szCs w:val="22"/>
                <w:lang w:eastAsia="en-GB"/>
              </w:rPr>
            </w:pPr>
            <w:r w:rsidRPr="005B4B3E">
              <w:rPr>
                <w:rFonts w:ascii="Calibri" w:eastAsia="Times New Roman" w:hAnsi="Calibri" w:cs="Calibri"/>
                <w:b/>
                <w:bCs/>
                <w:color w:val="000000"/>
                <w:sz w:val="22"/>
                <w:szCs w:val="22"/>
                <w:lang w:eastAsia="en-GB"/>
              </w:rPr>
              <w:t>Response</w:t>
            </w:r>
          </w:p>
        </w:tc>
        <w:tc>
          <w:tcPr>
            <w:tcW w:w="5245" w:type="dxa"/>
            <w:tcBorders>
              <w:bottom w:val="single" w:sz="4" w:space="0" w:color="auto"/>
            </w:tcBorders>
          </w:tcPr>
          <w:p w14:paraId="46ABA669" w14:textId="77777777" w:rsidR="00932009" w:rsidRPr="005B4B3E" w:rsidRDefault="00932009" w:rsidP="00C43554">
            <w:pPr>
              <w:rPr>
                <w:rFonts w:ascii="Calibri" w:eastAsia="Times New Roman" w:hAnsi="Calibri" w:cs="Calibri"/>
                <w:b/>
                <w:bCs/>
                <w:color w:val="000000"/>
                <w:sz w:val="22"/>
                <w:szCs w:val="22"/>
                <w:lang w:eastAsia="en-GB"/>
              </w:rPr>
            </w:pPr>
            <w:r w:rsidRPr="005B4B3E">
              <w:rPr>
                <w:rFonts w:ascii="Calibri" w:eastAsia="Times New Roman" w:hAnsi="Calibri" w:cs="Calibri"/>
                <w:b/>
                <w:bCs/>
                <w:color w:val="000000"/>
                <w:sz w:val="22"/>
                <w:szCs w:val="22"/>
                <w:lang w:eastAsia="en-GB"/>
              </w:rPr>
              <w:t>Why is this important to the Pacific Region?</w:t>
            </w:r>
          </w:p>
        </w:tc>
      </w:tr>
      <w:tr w:rsidR="00932009" w:rsidRPr="00185BAA" w14:paraId="57D1C09B" w14:textId="77777777" w:rsidTr="00932009">
        <w:tc>
          <w:tcPr>
            <w:tcW w:w="9067" w:type="dxa"/>
            <w:gridSpan w:val="2"/>
            <w:shd w:val="clear" w:color="auto" w:fill="DBE5F1" w:themeFill="accent1" w:themeFillTint="33"/>
          </w:tcPr>
          <w:p w14:paraId="446D5C0E" w14:textId="77777777" w:rsidR="00932009" w:rsidRDefault="00932009" w:rsidP="00C43554">
            <w:pPr>
              <w:rPr>
                <w:rFonts w:ascii="Calibri" w:eastAsia="Times New Roman" w:hAnsi="Calibri" w:cs="Calibri"/>
                <w:color w:val="000000"/>
                <w:sz w:val="20"/>
                <w:szCs w:val="20"/>
                <w:lang w:eastAsia="en-GB"/>
              </w:rPr>
            </w:pPr>
          </w:p>
          <w:p w14:paraId="32714E11" w14:textId="77777777" w:rsidR="00932009"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26. Considerations for the legally binding instrument</w:t>
            </w:r>
          </w:p>
          <w:p w14:paraId="3FCCB8DE" w14:textId="77777777" w:rsidR="00932009" w:rsidRPr="00F03533" w:rsidRDefault="00932009" w:rsidP="00C43554">
            <w:pPr>
              <w:rPr>
                <w:rFonts w:ascii="Calibri" w:eastAsia="Times New Roman" w:hAnsi="Calibri" w:cs="Calibri"/>
                <w:color w:val="000000"/>
                <w:sz w:val="20"/>
                <w:szCs w:val="20"/>
                <w:lang w:eastAsia="en-GB"/>
              </w:rPr>
            </w:pPr>
          </w:p>
        </w:tc>
        <w:tc>
          <w:tcPr>
            <w:tcW w:w="5245" w:type="dxa"/>
            <w:shd w:val="clear" w:color="auto" w:fill="DBE5F1" w:themeFill="accent1" w:themeFillTint="33"/>
          </w:tcPr>
          <w:p w14:paraId="2BDCFC8F" w14:textId="77777777" w:rsidR="00932009" w:rsidRPr="00185BAA" w:rsidRDefault="00932009" w:rsidP="00C43554">
            <w:pPr>
              <w:rPr>
                <w:rFonts w:ascii="Calibri" w:eastAsia="Times New Roman" w:hAnsi="Calibri" w:cs="Calibri"/>
                <w:color w:val="000000"/>
                <w:sz w:val="20"/>
                <w:szCs w:val="20"/>
                <w:lang w:eastAsia="en-GB"/>
              </w:rPr>
            </w:pPr>
          </w:p>
        </w:tc>
      </w:tr>
      <w:tr w:rsidR="00932009" w:rsidRPr="00185BAA" w14:paraId="4770A262" w14:textId="77777777" w:rsidTr="00932009">
        <w:tc>
          <w:tcPr>
            <w:tcW w:w="2972" w:type="dxa"/>
          </w:tcPr>
          <w:p w14:paraId="24D6DF2A" w14:textId="77777777" w:rsidR="00932009" w:rsidRPr="00F03533" w:rsidRDefault="00932009" w:rsidP="00C43554">
            <w:pPr>
              <w:rPr>
                <w:rFonts w:ascii="Calibri" w:eastAsia="Times New Roman" w:hAnsi="Calibri" w:cs="Calibri"/>
                <w:color w:val="000000"/>
                <w:sz w:val="20"/>
                <w:szCs w:val="20"/>
                <w:lang w:eastAsia="en-GB"/>
              </w:rPr>
            </w:pPr>
            <w:r w:rsidRPr="00F03533">
              <w:rPr>
                <w:rFonts w:ascii="Calibri" w:eastAsia="Times New Roman" w:hAnsi="Calibri" w:cs="Calibri"/>
                <w:color w:val="000000"/>
                <w:sz w:val="20"/>
                <w:szCs w:val="20"/>
                <w:lang w:eastAsia="en-GB"/>
              </w:rPr>
              <w:t>(a) Which problem or problems will the instrument</w:t>
            </w:r>
            <w:proofErr w:type="gramStart"/>
            <w:r w:rsidRPr="00F03533">
              <w:rPr>
                <w:rFonts w:ascii="Calibri" w:eastAsia="Times New Roman" w:hAnsi="Calibri" w:cs="Calibri"/>
                <w:color w:val="000000"/>
                <w:sz w:val="20"/>
                <w:szCs w:val="20"/>
                <w:lang w:eastAsia="en-GB"/>
              </w:rPr>
              <w:t>/[</w:t>
            </w:r>
            <w:proofErr w:type="gramEnd"/>
            <w:r w:rsidRPr="00F03533">
              <w:rPr>
                <w:rFonts w:ascii="Calibri" w:eastAsia="Times New Roman" w:hAnsi="Calibri" w:cs="Calibri"/>
                <w:color w:val="000000"/>
                <w:sz w:val="20"/>
                <w:szCs w:val="20"/>
                <w:lang w:eastAsia="en-GB"/>
              </w:rPr>
              <w:t>the cluster] aim to address?</w:t>
            </w:r>
          </w:p>
          <w:p w14:paraId="623C1477" w14:textId="77777777" w:rsidR="00932009" w:rsidRDefault="00932009" w:rsidP="00C43554">
            <w:pPr>
              <w:rPr>
                <w:rFonts w:ascii="Calibri" w:eastAsia="Times New Roman" w:hAnsi="Calibri" w:cs="Calibri"/>
                <w:color w:val="000000"/>
                <w:sz w:val="20"/>
                <w:szCs w:val="20"/>
                <w:lang w:eastAsia="en-GB"/>
              </w:rPr>
            </w:pPr>
          </w:p>
          <w:p w14:paraId="35E9FAA3" w14:textId="77777777" w:rsidR="00932009" w:rsidRPr="00F03533" w:rsidRDefault="00932009" w:rsidP="00C43554">
            <w:pPr>
              <w:rPr>
                <w:rFonts w:ascii="Calibri" w:eastAsia="Times New Roman" w:hAnsi="Calibri" w:cs="Calibri"/>
                <w:color w:val="000000"/>
                <w:sz w:val="20"/>
                <w:szCs w:val="20"/>
                <w:lang w:eastAsia="en-GB"/>
              </w:rPr>
            </w:pPr>
          </w:p>
          <w:p w14:paraId="6C411E26" w14:textId="77777777" w:rsidR="00932009" w:rsidRDefault="00932009" w:rsidP="00C43554">
            <w:pPr>
              <w:rPr>
                <w:rFonts w:ascii="Calibri" w:eastAsia="Times New Roman" w:hAnsi="Calibri" w:cs="Calibri"/>
                <w:color w:val="000000"/>
                <w:sz w:val="20"/>
                <w:szCs w:val="20"/>
                <w:lang w:eastAsia="en-GB"/>
              </w:rPr>
            </w:pPr>
          </w:p>
          <w:p w14:paraId="192E76F7" w14:textId="77777777" w:rsidR="00932009" w:rsidRDefault="00932009" w:rsidP="00C43554">
            <w:pPr>
              <w:rPr>
                <w:rFonts w:ascii="Calibri" w:eastAsia="Times New Roman" w:hAnsi="Calibri" w:cs="Calibri"/>
                <w:color w:val="000000"/>
                <w:sz w:val="20"/>
                <w:szCs w:val="20"/>
                <w:lang w:eastAsia="en-GB"/>
              </w:rPr>
            </w:pPr>
          </w:p>
          <w:p w14:paraId="2696AF95" w14:textId="77777777" w:rsidR="00932009" w:rsidRPr="00F03533" w:rsidRDefault="00932009" w:rsidP="00C43554">
            <w:pPr>
              <w:rPr>
                <w:rFonts w:ascii="Calibri" w:eastAsia="Times New Roman" w:hAnsi="Calibri" w:cs="Calibri"/>
                <w:color w:val="000000"/>
                <w:sz w:val="20"/>
                <w:szCs w:val="20"/>
                <w:lang w:eastAsia="en-GB"/>
              </w:rPr>
            </w:pPr>
          </w:p>
        </w:tc>
        <w:tc>
          <w:tcPr>
            <w:tcW w:w="6095" w:type="dxa"/>
          </w:tcPr>
          <w:p w14:paraId="7DDAB666"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4A946E00"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3B4CD516"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D9773BA"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63F6C08"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A2030FE"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004620E"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3328E7F" w14:textId="77777777" w:rsidR="00932009" w:rsidRPr="00F03533" w:rsidRDefault="00932009" w:rsidP="00C43554">
            <w:pPr>
              <w:pStyle w:val="NormalWeb"/>
              <w:spacing w:before="0" w:beforeAutospacing="0" w:after="0" w:afterAutospacing="0"/>
              <w:rPr>
                <w:rFonts w:ascii="Calibri" w:hAnsi="Calibri" w:cs="Calibri"/>
                <w:color w:val="000000"/>
                <w:sz w:val="20"/>
                <w:szCs w:val="20"/>
              </w:rPr>
            </w:pPr>
          </w:p>
        </w:tc>
        <w:tc>
          <w:tcPr>
            <w:tcW w:w="5245" w:type="dxa"/>
          </w:tcPr>
          <w:p w14:paraId="55918F0D"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4C29DBA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CDCB87C"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3A9E61F0"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91FF573"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A181EA3"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A5C0F3B"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8C1373B" w14:textId="77777777" w:rsidR="00932009" w:rsidRPr="00F03533" w:rsidRDefault="00932009" w:rsidP="00C43554">
            <w:pPr>
              <w:pStyle w:val="NormalWeb"/>
              <w:spacing w:before="0" w:beforeAutospacing="0" w:after="0" w:afterAutospacing="0"/>
              <w:ind w:left="-47"/>
              <w:rPr>
                <w:rFonts w:ascii="Calibri" w:hAnsi="Calibri" w:cs="Calibri"/>
                <w:color w:val="000000"/>
                <w:sz w:val="20"/>
                <w:szCs w:val="20"/>
              </w:rPr>
            </w:pPr>
          </w:p>
        </w:tc>
      </w:tr>
      <w:tr w:rsidR="00932009" w:rsidRPr="00185BAA" w14:paraId="1F84A995" w14:textId="77777777" w:rsidTr="00932009">
        <w:tc>
          <w:tcPr>
            <w:tcW w:w="2972" w:type="dxa"/>
          </w:tcPr>
          <w:p w14:paraId="47125C2C" w14:textId="77777777" w:rsidR="00932009" w:rsidRPr="00F03533" w:rsidRDefault="00932009" w:rsidP="00C43554">
            <w:pPr>
              <w:rPr>
                <w:rFonts w:ascii="Calibri" w:eastAsia="Times New Roman" w:hAnsi="Calibri" w:cs="Calibri"/>
                <w:color w:val="000000"/>
                <w:sz w:val="20"/>
                <w:szCs w:val="20"/>
                <w:lang w:eastAsia="en-GB"/>
              </w:rPr>
            </w:pPr>
            <w:r w:rsidRPr="00F03533">
              <w:rPr>
                <w:rFonts w:ascii="Calibri" w:eastAsia="Times New Roman" w:hAnsi="Calibri" w:cs="Calibri"/>
                <w:color w:val="000000"/>
                <w:sz w:val="20"/>
                <w:szCs w:val="20"/>
                <w:lang w:eastAsia="en-GB"/>
              </w:rPr>
              <w:t>How will the aim be reflected in the instrument?</w:t>
            </w:r>
          </w:p>
        </w:tc>
        <w:tc>
          <w:tcPr>
            <w:tcW w:w="6095" w:type="dxa"/>
          </w:tcPr>
          <w:p w14:paraId="2666E445" w14:textId="77777777" w:rsidR="00932009" w:rsidRDefault="00932009" w:rsidP="00C43554">
            <w:pPr>
              <w:pStyle w:val="NormalWeb"/>
              <w:spacing w:before="0" w:beforeAutospacing="0" w:after="0" w:afterAutospacing="0"/>
              <w:ind w:left="172"/>
              <w:rPr>
                <w:rFonts w:ascii="Calibri" w:hAnsi="Calibri" w:cs="Calibri"/>
                <w:color w:val="000000"/>
                <w:sz w:val="20"/>
                <w:szCs w:val="20"/>
              </w:rPr>
            </w:pPr>
          </w:p>
          <w:p w14:paraId="544FEE34" w14:textId="77777777" w:rsidR="00932009" w:rsidRDefault="00932009" w:rsidP="00C43554">
            <w:pPr>
              <w:pStyle w:val="NormalWeb"/>
              <w:spacing w:before="0" w:beforeAutospacing="0" w:after="0" w:afterAutospacing="0"/>
              <w:ind w:left="172"/>
              <w:rPr>
                <w:rFonts w:ascii="Calibri" w:hAnsi="Calibri" w:cs="Calibri"/>
                <w:color w:val="000000"/>
                <w:sz w:val="20"/>
                <w:szCs w:val="20"/>
              </w:rPr>
            </w:pPr>
          </w:p>
          <w:p w14:paraId="19721124" w14:textId="77777777" w:rsidR="00932009" w:rsidRPr="00715014" w:rsidRDefault="00932009" w:rsidP="00C43554">
            <w:pPr>
              <w:pStyle w:val="NormalWeb"/>
              <w:spacing w:before="0" w:beforeAutospacing="0" w:after="0" w:afterAutospacing="0"/>
              <w:ind w:left="172"/>
              <w:rPr>
                <w:rFonts w:ascii="Calibri" w:hAnsi="Calibri" w:cs="Calibri"/>
                <w:color w:val="000000"/>
                <w:sz w:val="20"/>
                <w:szCs w:val="20"/>
              </w:rPr>
            </w:pPr>
          </w:p>
          <w:p w14:paraId="48085A29" w14:textId="77777777" w:rsidR="00932009" w:rsidRPr="00715014" w:rsidRDefault="00932009" w:rsidP="00C43554">
            <w:pPr>
              <w:pStyle w:val="NormalWeb"/>
              <w:spacing w:before="0" w:beforeAutospacing="0" w:after="0" w:afterAutospacing="0"/>
              <w:rPr>
                <w:rFonts w:ascii="Calibri" w:hAnsi="Calibri" w:cs="Calibri"/>
                <w:color w:val="000000"/>
                <w:sz w:val="20"/>
                <w:szCs w:val="20"/>
              </w:rPr>
            </w:pPr>
          </w:p>
          <w:p w14:paraId="0377A6B2"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042BF4D" w14:textId="77777777" w:rsidR="00932009" w:rsidRDefault="00932009" w:rsidP="00C43554">
            <w:pPr>
              <w:pStyle w:val="NormalWeb"/>
              <w:spacing w:before="0" w:beforeAutospacing="0" w:after="0" w:afterAutospacing="0"/>
              <w:rPr>
                <w:rFonts w:ascii="Calibri" w:hAnsi="Calibri" w:cs="Calibri"/>
                <w:color w:val="000000"/>
                <w:sz w:val="20"/>
                <w:szCs w:val="20"/>
                <w:u w:val="single"/>
              </w:rPr>
            </w:pPr>
          </w:p>
          <w:p w14:paraId="3BB1AF23" w14:textId="77777777" w:rsidR="00932009" w:rsidRPr="008E6024" w:rsidRDefault="00932009" w:rsidP="00C43554">
            <w:pPr>
              <w:pStyle w:val="NormalWeb"/>
              <w:spacing w:before="0" w:beforeAutospacing="0" w:after="0" w:afterAutospacing="0"/>
              <w:ind w:left="172"/>
              <w:rPr>
                <w:rFonts w:ascii="Calibri" w:hAnsi="Calibri" w:cs="Calibri"/>
                <w:color w:val="000000"/>
                <w:sz w:val="20"/>
                <w:szCs w:val="20"/>
                <w:u w:val="single"/>
              </w:rPr>
            </w:pPr>
          </w:p>
        </w:tc>
        <w:tc>
          <w:tcPr>
            <w:tcW w:w="5245" w:type="dxa"/>
          </w:tcPr>
          <w:p w14:paraId="2A98941A" w14:textId="77777777" w:rsidR="00932009" w:rsidRDefault="00932009" w:rsidP="00C43554">
            <w:pPr>
              <w:pStyle w:val="NormalWeb"/>
              <w:spacing w:before="0" w:beforeAutospacing="0" w:after="0" w:afterAutospacing="0"/>
              <w:ind w:left="-47"/>
              <w:rPr>
                <w:rFonts w:ascii="Calibri" w:hAnsi="Calibri" w:cs="Calibri"/>
                <w:color w:val="000000"/>
                <w:sz w:val="20"/>
                <w:szCs w:val="20"/>
              </w:rPr>
            </w:pPr>
          </w:p>
          <w:p w14:paraId="3A7680BD" w14:textId="77777777" w:rsidR="00932009" w:rsidRDefault="00932009" w:rsidP="00C43554">
            <w:pPr>
              <w:pStyle w:val="NormalWeb"/>
              <w:spacing w:before="0" w:beforeAutospacing="0" w:after="0" w:afterAutospacing="0"/>
              <w:ind w:left="-47"/>
              <w:rPr>
                <w:rFonts w:ascii="Calibri" w:hAnsi="Calibri" w:cs="Calibri"/>
                <w:color w:val="000000"/>
                <w:sz w:val="20"/>
                <w:szCs w:val="20"/>
              </w:rPr>
            </w:pPr>
          </w:p>
          <w:p w14:paraId="6F359D96" w14:textId="77777777" w:rsidR="00932009" w:rsidRDefault="00932009" w:rsidP="00C43554">
            <w:pPr>
              <w:pStyle w:val="NormalWeb"/>
              <w:spacing w:before="0" w:beforeAutospacing="0" w:after="0" w:afterAutospacing="0"/>
              <w:ind w:left="-47"/>
              <w:rPr>
                <w:rFonts w:ascii="Calibri" w:hAnsi="Calibri" w:cs="Calibri"/>
                <w:color w:val="000000"/>
                <w:sz w:val="20"/>
                <w:szCs w:val="20"/>
              </w:rPr>
            </w:pPr>
          </w:p>
          <w:p w14:paraId="76EB75E8"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42172D35"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E2E21B3"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ACF8288"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25CF5F38" w14:textId="77777777" w:rsidR="00932009" w:rsidRDefault="00932009" w:rsidP="00C43554">
            <w:pPr>
              <w:pStyle w:val="NormalWeb"/>
              <w:spacing w:before="0" w:beforeAutospacing="0" w:after="0" w:afterAutospacing="0"/>
              <w:ind w:left="-47"/>
              <w:rPr>
                <w:rFonts w:ascii="Calibri" w:hAnsi="Calibri" w:cs="Calibri"/>
                <w:color w:val="000000"/>
                <w:sz w:val="20"/>
                <w:szCs w:val="20"/>
              </w:rPr>
            </w:pPr>
          </w:p>
        </w:tc>
      </w:tr>
      <w:tr w:rsidR="00932009" w:rsidRPr="00185BAA" w14:paraId="0DC54A90" w14:textId="77777777" w:rsidTr="00932009">
        <w:tc>
          <w:tcPr>
            <w:tcW w:w="2972" w:type="dxa"/>
            <w:vMerge w:val="restart"/>
          </w:tcPr>
          <w:p w14:paraId="3F6A827C" w14:textId="77777777" w:rsidR="00932009" w:rsidRPr="00F03533"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 xml:space="preserve">(b) What core obligations, control measures and voluntary </w:t>
            </w:r>
            <w:r w:rsidRPr="00185BAA">
              <w:rPr>
                <w:rFonts w:ascii="Calibri" w:eastAsia="Times New Roman" w:hAnsi="Calibri" w:cs="Calibri"/>
                <w:color w:val="000000"/>
                <w:sz w:val="20"/>
                <w:szCs w:val="20"/>
                <w:lang w:eastAsia="en-GB"/>
              </w:rPr>
              <w:lastRenderedPageBreak/>
              <w:t>approaches would provide a comprehensive approach to addressing the problem or problems?</w:t>
            </w:r>
          </w:p>
        </w:tc>
        <w:tc>
          <w:tcPr>
            <w:tcW w:w="6095" w:type="dxa"/>
          </w:tcPr>
          <w:p w14:paraId="741CA237" w14:textId="77777777" w:rsidR="00932009" w:rsidRPr="0072669A" w:rsidRDefault="00932009" w:rsidP="00C43554">
            <w:pPr>
              <w:rPr>
                <w:rFonts w:ascii="Calibri" w:eastAsia="Times New Roman" w:hAnsi="Calibri" w:cs="Calibri"/>
                <w:b/>
                <w:bCs/>
                <w:color w:val="000000"/>
                <w:sz w:val="20"/>
                <w:szCs w:val="20"/>
                <w:lang w:eastAsia="en-GB"/>
              </w:rPr>
            </w:pPr>
            <w:r w:rsidRPr="0072669A">
              <w:rPr>
                <w:rFonts w:ascii="Calibri" w:eastAsia="Times New Roman" w:hAnsi="Calibri" w:cs="Calibri"/>
                <w:b/>
                <w:bCs/>
                <w:color w:val="000000"/>
                <w:sz w:val="20"/>
                <w:szCs w:val="20"/>
                <w:lang w:eastAsia="en-GB"/>
              </w:rPr>
              <w:lastRenderedPageBreak/>
              <w:t>Obligation</w:t>
            </w:r>
            <w:r>
              <w:rPr>
                <w:rFonts w:ascii="Calibri" w:eastAsia="Times New Roman" w:hAnsi="Calibri" w:cs="Calibri"/>
                <w:b/>
                <w:bCs/>
                <w:color w:val="000000"/>
                <w:sz w:val="20"/>
                <w:szCs w:val="20"/>
                <w:lang w:eastAsia="en-GB"/>
              </w:rPr>
              <w:t>/s</w:t>
            </w:r>
            <w:r w:rsidRPr="0072669A">
              <w:rPr>
                <w:rFonts w:ascii="Calibri" w:eastAsia="Times New Roman" w:hAnsi="Calibri" w:cs="Calibri"/>
                <w:b/>
                <w:bCs/>
                <w:color w:val="000000"/>
                <w:sz w:val="20"/>
                <w:szCs w:val="20"/>
                <w:lang w:eastAsia="en-GB"/>
              </w:rPr>
              <w:t>:</w:t>
            </w:r>
          </w:p>
          <w:p w14:paraId="098809A6" w14:textId="77777777" w:rsidR="00932009" w:rsidRDefault="00932009" w:rsidP="00C43554">
            <w:pPr>
              <w:rPr>
                <w:color w:val="000000"/>
                <w:sz w:val="20"/>
                <w:szCs w:val="20"/>
                <w:lang w:eastAsia="en-GB"/>
              </w:rPr>
            </w:pPr>
          </w:p>
          <w:p w14:paraId="42E6EDE9" w14:textId="77777777" w:rsidR="00932009" w:rsidRDefault="00932009" w:rsidP="00C43554">
            <w:pPr>
              <w:rPr>
                <w:color w:val="000000"/>
                <w:sz w:val="20"/>
                <w:szCs w:val="20"/>
                <w:lang w:eastAsia="en-GB"/>
              </w:rPr>
            </w:pPr>
          </w:p>
          <w:p w14:paraId="3041DDDC" w14:textId="77777777" w:rsidR="00932009" w:rsidRDefault="00932009" w:rsidP="00C43554">
            <w:pPr>
              <w:rPr>
                <w:color w:val="000000"/>
                <w:sz w:val="20"/>
                <w:szCs w:val="20"/>
                <w:lang w:eastAsia="en-GB"/>
              </w:rPr>
            </w:pPr>
          </w:p>
          <w:p w14:paraId="69E90F12" w14:textId="77777777" w:rsidR="00932009" w:rsidRDefault="00932009" w:rsidP="00C43554">
            <w:pPr>
              <w:rPr>
                <w:rFonts w:ascii="Calibri" w:eastAsia="Times New Roman" w:hAnsi="Calibri" w:cs="Calibri"/>
                <w:color w:val="000000"/>
                <w:sz w:val="20"/>
                <w:szCs w:val="20"/>
                <w:lang w:eastAsia="en-GB"/>
              </w:rPr>
            </w:pPr>
          </w:p>
          <w:p w14:paraId="2CF410B0" w14:textId="77777777" w:rsidR="00932009" w:rsidRDefault="00932009" w:rsidP="00C43554">
            <w:pPr>
              <w:rPr>
                <w:rFonts w:ascii="Calibri" w:eastAsia="Times New Roman" w:hAnsi="Calibri" w:cs="Calibri"/>
                <w:color w:val="000000"/>
                <w:sz w:val="20"/>
                <w:szCs w:val="20"/>
                <w:lang w:eastAsia="en-GB"/>
              </w:rPr>
            </w:pPr>
          </w:p>
          <w:p w14:paraId="2A31000A"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4DB39C7" w14:textId="77777777" w:rsidR="00932009" w:rsidRDefault="00932009" w:rsidP="00C43554">
            <w:pPr>
              <w:rPr>
                <w:rFonts w:ascii="Calibri" w:eastAsia="Times New Roman" w:hAnsi="Calibri" w:cs="Calibri"/>
                <w:color w:val="000000"/>
                <w:sz w:val="20"/>
                <w:szCs w:val="20"/>
                <w:lang w:eastAsia="en-GB"/>
              </w:rPr>
            </w:pPr>
          </w:p>
          <w:p w14:paraId="59445F55" w14:textId="77777777" w:rsidR="00932009" w:rsidRDefault="00932009" w:rsidP="00C43554">
            <w:pPr>
              <w:rPr>
                <w:rFonts w:ascii="Calibri" w:eastAsia="Times New Roman" w:hAnsi="Calibri" w:cs="Calibri"/>
                <w:color w:val="000000"/>
                <w:sz w:val="20"/>
                <w:szCs w:val="20"/>
                <w:lang w:eastAsia="en-GB"/>
              </w:rPr>
            </w:pPr>
          </w:p>
          <w:p w14:paraId="2F0A2A21"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33FEFD32" w14:textId="77777777" w:rsidR="00932009" w:rsidRPr="0072669A" w:rsidRDefault="00932009" w:rsidP="00C43554">
            <w:pPr>
              <w:pStyle w:val="NormalWeb"/>
              <w:spacing w:before="0" w:beforeAutospacing="0" w:after="0" w:afterAutospacing="0"/>
              <w:rPr>
                <w:rFonts w:ascii="Calibri" w:hAnsi="Calibri" w:cs="Calibri"/>
                <w:color w:val="000000"/>
                <w:sz w:val="20"/>
                <w:szCs w:val="20"/>
              </w:rPr>
            </w:pPr>
          </w:p>
        </w:tc>
        <w:tc>
          <w:tcPr>
            <w:tcW w:w="5245" w:type="dxa"/>
          </w:tcPr>
          <w:p w14:paraId="58442C66" w14:textId="77777777" w:rsidR="00932009" w:rsidRDefault="00932009" w:rsidP="00C43554">
            <w:pPr>
              <w:rPr>
                <w:rFonts w:ascii="Calibri" w:eastAsia="Times New Roman" w:hAnsi="Calibri" w:cs="Calibri"/>
                <w:color w:val="000000"/>
                <w:sz w:val="20"/>
                <w:szCs w:val="20"/>
                <w:lang w:eastAsia="en-GB"/>
              </w:rPr>
            </w:pPr>
          </w:p>
          <w:p w14:paraId="4A681899" w14:textId="77777777" w:rsidR="00932009" w:rsidRDefault="00932009" w:rsidP="00C43554">
            <w:pPr>
              <w:rPr>
                <w:rFonts w:ascii="Calibri" w:eastAsia="Times New Roman" w:hAnsi="Calibri" w:cs="Calibri"/>
                <w:color w:val="000000"/>
                <w:sz w:val="20"/>
                <w:szCs w:val="20"/>
                <w:lang w:eastAsia="en-GB"/>
              </w:rPr>
            </w:pPr>
          </w:p>
          <w:p w14:paraId="168493BB" w14:textId="77777777" w:rsidR="00932009" w:rsidRDefault="00932009" w:rsidP="00C43554">
            <w:pPr>
              <w:rPr>
                <w:rFonts w:ascii="Calibri" w:eastAsia="Times New Roman" w:hAnsi="Calibri" w:cs="Calibri"/>
                <w:color w:val="000000"/>
                <w:sz w:val="20"/>
                <w:szCs w:val="20"/>
                <w:lang w:eastAsia="en-GB"/>
              </w:rPr>
            </w:pPr>
          </w:p>
          <w:p w14:paraId="772420DB"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400D6D0A"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E1CFFA8"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988C6DF"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F420FA3"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45EA3A7"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DB9036E"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7BC3FC62" w14:textId="77777777" w:rsidTr="00932009">
        <w:tc>
          <w:tcPr>
            <w:tcW w:w="2972" w:type="dxa"/>
            <w:vMerge/>
          </w:tcPr>
          <w:p w14:paraId="64CA213F" w14:textId="77777777" w:rsidR="00932009" w:rsidRPr="00185BAA" w:rsidRDefault="00932009" w:rsidP="00C43554">
            <w:pPr>
              <w:rPr>
                <w:rFonts w:ascii="Calibri" w:eastAsia="Times New Roman" w:hAnsi="Calibri" w:cs="Calibri"/>
                <w:color w:val="000000"/>
                <w:sz w:val="20"/>
                <w:szCs w:val="20"/>
                <w:lang w:eastAsia="en-GB"/>
              </w:rPr>
            </w:pPr>
          </w:p>
        </w:tc>
        <w:tc>
          <w:tcPr>
            <w:tcW w:w="6095" w:type="dxa"/>
          </w:tcPr>
          <w:p w14:paraId="396A4ACC" w14:textId="77777777" w:rsidR="00932009" w:rsidRPr="0072669A" w:rsidRDefault="00932009" w:rsidP="00C43554">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Control measures</w:t>
            </w:r>
            <w:r w:rsidRPr="0072669A">
              <w:rPr>
                <w:rFonts w:ascii="Calibri" w:eastAsia="Times New Roman" w:hAnsi="Calibri" w:cs="Calibri"/>
                <w:b/>
                <w:bCs/>
                <w:color w:val="000000"/>
                <w:sz w:val="20"/>
                <w:szCs w:val="20"/>
                <w:lang w:eastAsia="en-GB"/>
              </w:rPr>
              <w:t xml:space="preserve">: </w:t>
            </w:r>
          </w:p>
          <w:p w14:paraId="3DC456F1" w14:textId="77777777" w:rsidR="00932009" w:rsidRDefault="00932009" w:rsidP="00C43554">
            <w:pPr>
              <w:rPr>
                <w:color w:val="000000"/>
                <w:sz w:val="20"/>
                <w:szCs w:val="20"/>
                <w:lang w:eastAsia="en-GB"/>
              </w:rPr>
            </w:pPr>
          </w:p>
          <w:p w14:paraId="3048256E" w14:textId="77777777" w:rsidR="00932009" w:rsidRDefault="00932009" w:rsidP="00C43554">
            <w:pPr>
              <w:rPr>
                <w:color w:val="000000"/>
                <w:sz w:val="20"/>
                <w:szCs w:val="20"/>
                <w:lang w:eastAsia="en-GB"/>
              </w:rPr>
            </w:pPr>
          </w:p>
          <w:p w14:paraId="5AD0CA8C" w14:textId="77777777" w:rsidR="00932009" w:rsidRDefault="00932009" w:rsidP="00C43554">
            <w:pPr>
              <w:rPr>
                <w:rFonts w:ascii="Calibri" w:eastAsia="Times New Roman" w:hAnsi="Calibri" w:cs="Calibri"/>
                <w:color w:val="000000"/>
                <w:sz w:val="20"/>
                <w:szCs w:val="20"/>
                <w:lang w:eastAsia="en-GB"/>
              </w:rPr>
            </w:pPr>
          </w:p>
          <w:p w14:paraId="16F731AE" w14:textId="77777777" w:rsidR="00932009" w:rsidRDefault="00932009" w:rsidP="00C43554">
            <w:pPr>
              <w:rPr>
                <w:rFonts w:ascii="Calibri" w:eastAsia="Times New Roman" w:hAnsi="Calibri" w:cs="Calibri"/>
                <w:color w:val="000000"/>
                <w:sz w:val="20"/>
                <w:szCs w:val="20"/>
                <w:lang w:eastAsia="en-GB"/>
              </w:rPr>
            </w:pPr>
          </w:p>
          <w:p w14:paraId="2439AB5E"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36FEFBE" w14:textId="77777777" w:rsidR="00932009" w:rsidRDefault="00932009" w:rsidP="00C43554">
            <w:pPr>
              <w:rPr>
                <w:rFonts w:ascii="Calibri" w:eastAsia="Times New Roman" w:hAnsi="Calibri" w:cs="Calibri"/>
                <w:color w:val="000000"/>
                <w:sz w:val="20"/>
                <w:szCs w:val="20"/>
                <w:lang w:eastAsia="en-GB"/>
              </w:rPr>
            </w:pPr>
          </w:p>
          <w:p w14:paraId="084D2784" w14:textId="77777777" w:rsidR="00932009" w:rsidRDefault="00932009" w:rsidP="00C43554">
            <w:pPr>
              <w:rPr>
                <w:rFonts w:ascii="Calibri" w:eastAsia="Times New Roman" w:hAnsi="Calibri" w:cs="Calibri"/>
                <w:color w:val="000000"/>
                <w:sz w:val="20"/>
                <w:szCs w:val="20"/>
                <w:lang w:eastAsia="en-GB"/>
              </w:rPr>
            </w:pPr>
          </w:p>
          <w:p w14:paraId="12F19E1D"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A4B89FD" w14:textId="77777777" w:rsidR="00932009" w:rsidRPr="0072669A" w:rsidRDefault="00932009" w:rsidP="00C43554">
            <w:pPr>
              <w:rPr>
                <w:rFonts w:ascii="Calibri" w:eastAsia="Times New Roman" w:hAnsi="Calibri" w:cs="Calibri"/>
                <w:b/>
                <w:bCs/>
                <w:color w:val="000000"/>
                <w:sz w:val="20"/>
                <w:szCs w:val="20"/>
                <w:lang w:eastAsia="en-GB"/>
              </w:rPr>
            </w:pPr>
          </w:p>
        </w:tc>
        <w:tc>
          <w:tcPr>
            <w:tcW w:w="5245" w:type="dxa"/>
          </w:tcPr>
          <w:p w14:paraId="1EF98561" w14:textId="77777777" w:rsidR="00932009" w:rsidRDefault="00932009" w:rsidP="00C43554">
            <w:pPr>
              <w:rPr>
                <w:rFonts w:ascii="Calibri" w:eastAsia="Times New Roman" w:hAnsi="Calibri" w:cs="Calibri"/>
                <w:color w:val="000000"/>
                <w:sz w:val="20"/>
                <w:szCs w:val="20"/>
                <w:lang w:eastAsia="en-GB"/>
              </w:rPr>
            </w:pPr>
          </w:p>
          <w:p w14:paraId="657EA53D" w14:textId="77777777" w:rsidR="00932009" w:rsidRDefault="00932009" w:rsidP="00C43554">
            <w:pPr>
              <w:rPr>
                <w:rFonts w:ascii="Calibri" w:eastAsia="Times New Roman" w:hAnsi="Calibri" w:cs="Calibri"/>
                <w:color w:val="000000"/>
                <w:sz w:val="20"/>
                <w:szCs w:val="20"/>
                <w:lang w:eastAsia="en-GB"/>
              </w:rPr>
            </w:pPr>
          </w:p>
          <w:p w14:paraId="46960E8B" w14:textId="77777777" w:rsidR="00932009" w:rsidRDefault="00932009" w:rsidP="00C43554">
            <w:pPr>
              <w:rPr>
                <w:rFonts w:ascii="Calibri" w:eastAsia="Times New Roman" w:hAnsi="Calibri" w:cs="Calibri"/>
                <w:color w:val="000000"/>
                <w:sz w:val="20"/>
                <w:szCs w:val="20"/>
                <w:lang w:eastAsia="en-GB"/>
              </w:rPr>
            </w:pPr>
          </w:p>
          <w:p w14:paraId="05B8CE3B" w14:textId="77777777" w:rsidR="00932009" w:rsidRDefault="00932009" w:rsidP="00C43554">
            <w:pPr>
              <w:rPr>
                <w:rFonts w:ascii="Calibri" w:eastAsia="Times New Roman" w:hAnsi="Calibri" w:cs="Calibri"/>
                <w:color w:val="000000"/>
                <w:sz w:val="20"/>
                <w:szCs w:val="20"/>
                <w:lang w:eastAsia="en-GB"/>
              </w:rPr>
            </w:pPr>
          </w:p>
          <w:p w14:paraId="1DCC57D8" w14:textId="77777777" w:rsidR="00932009" w:rsidRDefault="00932009" w:rsidP="00C43554">
            <w:pPr>
              <w:rPr>
                <w:rFonts w:ascii="Calibri" w:eastAsia="Times New Roman" w:hAnsi="Calibri" w:cs="Calibri"/>
                <w:color w:val="000000"/>
                <w:sz w:val="20"/>
                <w:szCs w:val="20"/>
                <w:lang w:eastAsia="en-GB"/>
              </w:rPr>
            </w:pPr>
          </w:p>
          <w:p w14:paraId="4352CBF7" w14:textId="77777777" w:rsidR="00932009" w:rsidRDefault="00932009" w:rsidP="00C43554">
            <w:pPr>
              <w:rPr>
                <w:rFonts w:ascii="Calibri" w:eastAsia="Times New Roman" w:hAnsi="Calibri" w:cs="Calibri"/>
                <w:color w:val="000000"/>
                <w:sz w:val="20"/>
                <w:szCs w:val="20"/>
                <w:lang w:eastAsia="en-GB"/>
              </w:rPr>
            </w:pPr>
          </w:p>
          <w:p w14:paraId="5A679C0B"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3DA3F9E"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6C76045"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9C52908"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67125B38" w14:textId="77777777" w:rsidTr="00932009">
        <w:tc>
          <w:tcPr>
            <w:tcW w:w="2972" w:type="dxa"/>
            <w:vMerge/>
          </w:tcPr>
          <w:p w14:paraId="28B62BB2" w14:textId="77777777" w:rsidR="00932009" w:rsidRPr="00185BAA" w:rsidRDefault="00932009" w:rsidP="00C43554">
            <w:pPr>
              <w:rPr>
                <w:rFonts w:ascii="Calibri" w:eastAsia="Times New Roman" w:hAnsi="Calibri" w:cs="Calibri"/>
                <w:color w:val="000000"/>
                <w:sz w:val="20"/>
                <w:szCs w:val="20"/>
                <w:lang w:eastAsia="en-GB"/>
              </w:rPr>
            </w:pPr>
          </w:p>
        </w:tc>
        <w:tc>
          <w:tcPr>
            <w:tcW w:w="6095" w:type="dxa"/>
          </w:tcPr>
          <w:p w14:paraId="6FB71B4F" w14:textId="77777777" w:rsidR="00932009" w:rsidRPr="0072669A" w:rsidRDefault="00932009" w:rsidP="00C43554">
            <w:pPr>
              <w:pStyle w:val="NormalWeb"/>
              <w:spacing w:before="0" w:beforeAutospacing="0" w:after="0" w:afterAutospacing="0"/>
              <w:rPr>
                <w:rFonts w:ascii="Calibri" w:hAnsi="Calibri" w:cs="Calibri"/>
                <w:b/>
                <w:bCs/>
                <w:color w:val="000000"/>
                <w:sz w:val="20"/>
                <w:szCs w:val="20"/>
              </w:rPr>
            </w:pPr>
            <w:r w:rsidRPr="0072669A">
              <w:rPr>
                <w:rFonts w:ascii="Calibri" w:hAnsi="Calibri" w:cs="Calibri"/>
                <w:b/>
                <w:bCs/>
                <w:color w:val="000000"/>
                <w:sz w:val="20"/>
                <w:szCs w:val="20"/>
              </w:rPr>
              <w:t>Voluntary</w:t>
            </w:r>
            <w:r>
              <w:rPr>
                <w:rFonts w:ascii="Calibri" w:hAnsi="Calibri" w:cs="Calibri"/>
                <w:b/>
                <w:bCs/>
                <w:color w:val="000000"/>
                <w:sz w:val="20"/>
                <w:szCs w:val="20"/>
              </w:rPr>
              <w:t xml:space="preserve"> measures</w:t>
            </w:r>
            <w:r w:rsidRPr="0072669A">
              <w:rPr>
                <w:rFonts w:ascii="Calibri" w:hAnsi="Calibri" w:cs="Calibri"/>
                <w:b/>
                <w:bCs/>
                <w:color w:val="000000"/>
                <w:sz w:val="20"/>
                <w:szCs w:val="20"/>
              </w:rPr>
              <w:t>:</w:t>
            </w:r>
          </w:p>
          <w:p w14:paraId="5E9FA91F" w14:textId="77777777" w:rsidR="00932009" w:rsidRDefault="00932009" w:rsidP="00C43554">
            <w:pPr>
              <w:pStyle w:val="NormalWeb"/>
              <w:spacing w:before="0" w:beforeAutospacing="0" w:after="0" w:afterAutospacing="0"/>
              <w:rPr>
                <w:rFonts w:ascii="Calibri" w:hAnsi="Calibri" w:cs="Calibri"/>
                <w:b/>
                <w:bCs/>
                <w:color w:val="000000"/>
                <w:sz w:val="20"/>
                <w:szCs w:val="20"/>
              </w:rPr>
            </w:pPr>
          </w:p>
          <w:p w14:paraId="2E27FB2E" w14:textId="77777777" w:rsidR="00932009" w:rsidRDefault="00932009" w:rsidP="00C43554">
            <w:pPr>
              <w:pStyle w:val="NormalWeb"/>
              <w:spacing w:before="0" w:beforeAutospacing="0" w:after="0" w:afterAutospacing="0"/>
              <w:rPr>
                <w:rFonts w:ascii="Calibri" w:hAnsi="Calibri" w:cs="Calibri"/>
                <w:b/>
                <w:bCs/>
                <w:color w:val="000000"/>
                <w:sz w:val="20"/>
                <w:szCs w:val="20"/>
              </w:rPr>
            </w:pPr>
          </w:p>
          <w:p w14:paraId="4EDBE349" w14:textId="77777777" w:rsidR="00932009" w:rsidRDefault="00932009" w:rsidP="00C43554">
            <w:pPr>
              <w:rPr>
                <w:color w:val="000000"/>
                <w:sz w:val="20"/>
                <w:szCs w:val="20"/>
                <w:lang w:eastAsia="en-GB"/>
              </w:rPr>
            </w:pPr>
          </w:p>
          <w:p w14:paraId="64AB3D9C" w14:textId="77777777" w:rsidR="00932009" w:rsidRDefault="00932009" w:rsidP="00C43554">
            <w:pPr>
              <w:rPr>
                <w:rFonts w:ascii="Calibri" w:eastAsia="Times New Roman" w:hAnsi="Calibri" w:cs="Calibri"/>
                <w:color w:val="000000"/>
                <w:sz w:val="20"/>
                <w:szCs w:val="20"/>
                <w:lang w:eastAsia="en-GB"/>
              </w:rPr>
            </w:pPr>
          </w:p>
          <w:p w14:paraId="18677E90" w14:textId="77777777" w:rsidR="00932009" w:rsidRDefault="00932009" w:rsidP="00C43554">
            <w:pPr>
              <w:rPr>
                <w:rFonts w:ascii="Calibri" w:eastAsia="Times New Roman" w:hAnsi="Calibri" w:cs="Calibri"/>
                <w:color w:val="000000"/>
                <w:sz w:val="20"/>
                <w:szCs w:val="20"/>
                <w:lang w:eastAsia="en-GB"/>
              </w:rPr>
            </w:pPr>
          </w:p>
          <w:p w14:paraId="556F1B93"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281B843" w14:textId="77777777" w:rsidR="00932009" w:rsidRDefault="00932009" w:rsidP="00C43554">
            <w:pPr>
              <w:rPr>
                <w:rFonts w:ascii="Calibri" w:eastAsia="Times New Roman" w:hAnsi="Calibri" w:cs="Calibri"/>
                <w:color w:val="000000"/>
                <w:sz w:val="20"/>
                <w:szCs w:val="20"/>
                <w:lang w:eastAsia="en-GB"/>
              </w:rPr>
            </w:pPr>
          </w:p>
          <w:p w14:paraId="65869E5B" w14:textId="77777777" w:rsidR="00932009" w:rsidRDefault="00932009" w:rsidP="00C43554">
            <w:pPr>
              <w:rPr>
                <w:rFonts w:ascii="Calibri" w:eastAsia="Times New Roman" w:hAnsi="Calibri" w:cs="Calibri"/>
                <w:color w:val="000000"/>
                <w:sz w:val="20"/>
                <w:szCs w:val="20"/>
                <w:lang w:eastAsia="en-GB"/>
              </w:rPr>
            </w:pPr>
          </w:p>
          <w:p w14:paraId="7875F5DA"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065A281" w14:textId="77777777" w:rsidR="00932009" w:rsidRPr="0072669A" w:rsidRDefault="00932009" w:rsidP="00C43554">
            <w:pPr>
              <w:pStyle w:val="NormalWeb"/>
              <w:spacing w:before="0" w:beforeAutospacing="0" w:after="0" w:afterAutospacing="0"/>
              <w:rPr>
                <w:rFonts w:ascii="Calibri" w:hAnsi="Calibri" w:cs="Calibri"/>
                <w:b/>
                <w:bCs/>
                <w:color w:val="000000"/>
                <w:sz w:val="20"/>
                <w:szCs w:val="20"/>
              </w:rPr>
            </w:pPr>
          </w:p>
        </w:tc>
        <w:tc>
          <w:tcPr>
            <w:tcW w:w="5245" w:type="dxa"/>
          </w:tcPr>
          <w:p w14:paraId="361827E0" w14:textId="77777777" w:rsidR="00932009" w:rsidRDefault="00932009" w:rsidP="00C43554">
            <w:pPr>
              <w:rPr>
                <w:rFonts w:ascii="Calibri" w:eastAsia="Times New Roman" w:hAnsi="Calibri" w:cs="Calibri"/>
                <w:color w:val="000000"/>
                <w:sz w:val="20"/>
                <w:szCs w:val="20"/>
                <w:lang w:eastAsia="en-GB"/>
              </w:rPr>
            </w:pPr>
          </w:p>
          <w:p w14:paraId="57BE7D43" w14:textId="77777777" w:rsidR="00932009" w:rsidRDefault="00932009" w:rsidP="00C43554">
            <w:pPr>
              <w:rPr>
                <w:rFonts w:ascii="Calibri" w:eastAsia="Times New Roman" w:hAnsi="Calibri" w:cs="Calibri"/>
                <w:color w:val="000000"/>
                <w:sz w:val="20"/>
                <w:szCs w:val="20"/>
                <w:lang w:eastAsia="en-GB"/>
              </w:rPr>
            </w:pPr>
          </w:p>
          <w:p w14:paraId="41D858B8" w14:textId="77777777" w:rsidR="00932009" w:rsidRDefault="00932009" w:rsidP="00C43554">
            <w:pPr>
              <w:rPr>
                <w:rFonts w:ascii="Calibri" w:eastAsia="Times New Roman" w:hAnsi="Calibri" w:cs="Calibri"/>
                <w:color w:val="000000"/>
                <w:sz w:val="20"/>
                <w:szCs w:val="20"/>
                <w:lang w:eastAsia="en-GB"/>
              </w:rPr>
            </w:pPr>
          </w:p>
          <w:p w14:paraId="23D05B78" w14:textId="77777777" w:rsidR="00932009" w:rsidRDefault="00932009" w:rsidP="00C43554">
            <w:pPr>
              <w:rPr>
                <w:rFonts w:ascii="Calibri" w:eastAsia="Times New Roman" w:hAnsi="Calibri" w:cs="Calibri"/>
                <w:color w:val="000000"/>
                <w:sz w:val="20"/>
                <w:szCs w:val="20"/>
                <w:lang w:eastAsia="en-GB"/>
              </w:rPr>
            </w:pPr>
          </w:p>
          <w:p w14:paraId="0B51CF28" w14:textId="77777777" w:rsidR="00932009" w:rsidRDefault="00932009" w:rsidP="00C43554">
            <w:pPr>
              <w:rPr>
                <w:rFonts w:ascii="Calibri" w:eastAsia="Times New Roman" w:hAnsi="Calibri" w:cs="Calibri"/>
                <w:color w:val="000000"/>
                <w:sz w:val="20"/>
                <w:szCs w:val="20"/>
                <w:lang w:eastAsia="en-GB"/>
              </w:rPr>
            </w:pPr>
          </w:p>
          <w:p w14:paraId="5C84ECB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27A6213"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C11702E"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24098987"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CEDBA57"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623FE655" w14:textId="77777777" w:rsidTr="00932009">
        <w:tc>
          <w:tcPr>
            <w:tcW w:w="2972" w:type="dxa"/>
          </w:tcPr>
          <w:p w14:paraId="4642555A" w14:textId="77777777" w:rsidR="00932009" w:rsidRPr="00F03533"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 xml:space="preserve">(c) How can the instrument create an incentive-based approach and enabling environment such that it is in </w:t>
            </w:r>
            <w:r w:rsidRPr="00185BAA">
              <w:rPr>
                <w:rFonts w:ascii="Calibri" w:eastAsia="Times New Roman" w:hAnsi="Calibri" w:cs="Calibri"/>
                <w:color w:val="000000"/>
                <w:sz w:val="20"/>
                <w:szCs w:val="20"/>
                <w:lang w:eastAsia="en-GB"/>
              </w:rPr>
              <w:lastRenderedPageBreak/>
              <w:t>everyone’s interest to implement their obligations?</w:t>
            </w:r>
          </w:p>
        </w:tc>
        <w:tc>
          <w:tcPr>
            <w:tcW w:w="6095" w:type="dxa"/>
          </w:tcPr>
          <w:p w14:paraId="79D127A5" w14:textId="77777777" w:rsidR="00932009" w:rsidRDefault="00932009" w:rsidP="00C43554">
            <w:pPr>
              <w:rPr>
                <w:color w:val="000000"/>
                <w:sz w:val="20"/>
                <w:szCs w:val="20"/>
                <w:lang w:eastAsia="en-GB"/>
              </w:rPr>
            </w:pPr>
          </w:p>
          <w:p w14:paraId="67EAEFDB" w14:textId="77777777" w:rsidR="00932009" w:rsidRDefault="00932009" w:rsidP="00C43554">
            <w:pPr>
              <w:rPr>
                <w:color w:val="000000"/>
                <w:sz w:val="20"/>
                <w:szCs w:val="20"/>
                <w:lang w:eastAsia="en-GB"/>
              </w:rPr>
            </w:pPr>
          </w:p>
          <w:p w14:paraId="3B009BC5" w14:textId="77777777" w:rsidR="00932009" w:rsidRDefault="00932009" w:rsidP="00C43554">
            <w:pPr>
              <w:rPr>
                <w:color w:val="000000"/>
                <w:sz w:val="20"/>
                <w:szCs w:val="20"/>
                <w:lang w:eastAsia="en-GB"/>
              </w:rPr>
            </w:pPr>
          </w:p>
          <w:p w14:paraId="2164AE08" w14:textId="77777777" w:rsidR="00932009" w:rsidRDefault="00932009" w:rsidP="00C43554">
            <w:pPr>
              <w:rPr>
                <w:rFonts w:ascii="Calibri" w:eastAsia="Times New Roman" w:hAnsi="Calibri" w:cs="Calibri"/>
                <w:color w:val="000000"/>
                <w:sz w:val="20"/>
                <w:szCs w:val="20"/>
                <w:lang w:eastAsia="en-GB"/>
              </w:rPr>
            </w:pPr>
          </w:p>
          <w:p w14:paraId="2E753E1A" w14:textId="77777777" w:rsidR="00932009" w:rsidRDefault="00932009" w:rsidP="00C43554">
            <w:pPr>
              <w:rPr>
                <w:rFonts w:ascii="Calibri" w:eastAsia="Times New Roman" w:hAnsi="Calibri" w:cs="Calibri"/>
                <w:color w:val="000000"/>
                <w:sz w:val="20"/>
                <w:szCs w:val="20"/>
                <w:lang w:eastAsia="en-GB"/>
              </w:rPr>
            </w:pPr>
          </w:p>
          <w:p w14:paraId="62DC3313" w14:textId="77777777" w:rsidR="00932009" w:rsidRDefault="00932009" w:rsidP="00C43554">
            <w:pPr>
              <w:rPr>
                <w:rFonts w:ascii="Calibri" w:eastAsia="Times New Roman" w:hAnsi="Calibri" w:cs="Calibri"/>
                <w:color w:val="000000"/>
                <w:sz w:val="20"/>
                <w:szCs w:val="20"/>
                <w:lang w:eastAsia="en-GB"/>
              </w:rPr>
            </w:pPr>
          </w:p>
          <w:p w14:paraId="34A0529E" w14:textId="77777777" w:rsidR="00932009" w:rsidRPr="004A6BED" w:rsidRDefault="00932009" w:rsidP="00C43554">
            <w:pPr>
              <w:pStyle w:val="NormalWeb"/>
              <w:spacing w:before="0" w:beforeAutospacing="0" w:after="0" w:afterAutospacing="0"/>
              <w:rPr>
                <w:rFonts w:ascii="Calibri" w:hAnsi="Calibri" w:cs="Calibri"/>
                <w:b/>
                <w:bCs/>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58E54C3" w14:textId="77777777" w:rsidR="00932009" w:rsidRPr="004A6BED" w:rsidRDefault="00932009" w:rsidP="00C43554">
            <w:pPr>
              <w:rPr>
                <w:rFonts w:ascii="Calibri" w:eastAsia="Times New Roman" w:hAnsi="Calibri" w:cs="Calibri"/>
                <w:b/>
                <w:bCs/>
                <w:color w:val="000000"/>
                <w:sz w:val="20"/>
                <w:szCs w:val="20"/>
                <w:lang w:eastAsia="en-GB"/>
              </w:rPr>
            </w:pPr>
          </w:p>
          <w:p w14:paraId="40567CC1" w14:textId="77777777" w:rsidR="00932009" w:rsidRPr="004A6BED" w:rsidRDefault="00932009" w:rsidP="00C43554">
            <w:pPr>
              <w:rPr>
                <w:rFonts w:ascii="Calibri" w:eastAsia="Times New Roman" w:hAnsi="Calibri" w:cs="Calibri"/>
                <w:b/>
                <w:bCs/>
                <w:color w:val="000000"/>
                <w:sz w:val="20"/>
                <w:szCs w:val="20"/>
                <w:lang w:eastAsia="en-GB"/>
              </w:rPr>
            </w:pPr>
          </w:p>
          <w:p w14:paraId="50FCCFA1" w14:textId="77777777" w:rsidR="00932009" w:rsidRPr="004A6BED" w:rsidRDefault="00932009" w:rsidP="00C43554">
            <w:pPr>
              <w:pStyle w:val="NormalWeb"/>
              <w:spacing w:before="0" w:beforeAutospacing="0" w:after="0" w:afterAutospacing="0"/>
              <w:rPr>
                <w:rFonts w:ascii="Calibri" w:hAnsi="Calibri" w:cs="Calibri"/>
                <w:b/>
                <w:bCs/>
                <w:color w:val="000000"/>
                <w:sz w:val="20"/>
                <w:szCs w:val="20"/>
              </w:rPr>
            </w:pPr>
          </w:p>
          <w:p w14:paraId="0DB63353" w14:textId="77777777" w:rsidR="00932009" w:rsidRPr="004A6BED" w:rsidRDefault="00932009" w:rsidP="00C43554">
            <w:pPr>
              <w:rPr>
                <w:rFonts w:ascii="Calibri" w:eastAsia="Times New Roman" w:hAnsi="Calibri" w:cs="Calibri"/>
                <w:b/>
                <w:bCs/>
                <w:color w:val="000000"/>
                <w:sz w:val="20"/>
                <w:szCs w:val="20"/>
                <w:lang w:eastAsia="en-GB"/>
              </w:rPr>
            </w:pPr>
          </w:p>
          <w:p w14:paraId="21DBB6D8" w14:textId="77777777" w:rsidR="00932009" w:rsidRPr="00F03533" w:rsidRDefault="00932009" w:rsidP="00C43554">
            <w:pPr>
              <w:rPr>
                <w:rFonts w:ascii="Calibri" w:eastAsia="Times New Roman" w:hAnsi="Calibri" w:cs="Calibri"/>
                <w:color w:val="000000"/>
                <w:sz w:val="20"/>
                <w:szCs w:val="20"/>
                <w:lang w:eastAsia="en-GB"/>
              </w:rPr>
            </w:pPr>
          </w:p>
        </w:tc>
        <w:tc>
          <w:tcPr>
            <w:tcW w:w="5245" w:type="dxa"/>
          </w:tcPr>
          <w:p w14:paraId="05023F15" w14:textId="77777777" w:rsidR="00932009" w:rsidRDefault="00932009" w:rsidP="00C43554">
            <w:pPr>
              <w:rPr>
                <w:rFonts w:ascii="Calibri" w:eastAsia="Times New Roman" w:hAnsi="Calibri" w:cs="Calibri"/>
                <w:color w:val="000000"/>
                <w:sz w:val="20"/>
                <w:szCs w:val="20"/>
                <w:lang w:eastAsia="en-GB"/>
              </w:rPr>
            </w:pPr>
          </w:p>
          <w:p w14:paraId="423ACE76" w14:textId="77777777" w:rsidR="00932009" w:rsidRDefault="00932009" w:rsidP="00C43554">
            <w:pPr>
              <w:rPr>
                <w:rFonts w:ascii="Calibri" w:eastAsia="Times New Roman" w:hAnsi="Calibri" w:cs="Calibri"/>
                <w:color w:val="000000"/>
                <w:sz w:val="20"/>
                <w:szCs w:val="20"/>
                <w:lang w:eastAsia="en-GB"/>
              </w:rPr>
            </w:pPr>
          </w:p>
          <w:p w14:paraId="650F69CB" w14:textId="77777777" w:rsidR="00932009" w:rsidRDefault="00932009" w:rsidP="00C43554">
            <w:pPr>
              <w:rPr>
                <w:rFonts w:ascii="Calibri" w:eastAsia="Times New Roman" w:hAnsi="Calibri" w:cs="Calibri"/>
                <w:color w:val="000000"/>
                <w:sz w:val="20"/>
                <w:szCs w:val="20"/>
                <w:lang w:eastAsia="en-GB"/>
              </w:rPr>
            </w:pPr>
          </w:p>
          <w:p w14:paraId="1B5A844A" w14:textId="77777777" w:rsidR="00932009" w:rsidRDefault="00932009" w:rsidP="00C43554">
            <w:pPr>
              <w:rPr>
                <w:rFonts w:ascii="Calibri" w:eastAsia="Times New Roman" w:hAnsi="Calibri" w:cs="Calibri"/>
                <w:color w:val="000000"/>
                <w:sz w:val="20"/>
                <w:szCs w:val="20"/>
                <w:lang w:eastAsia="en-GB"/>
              </w:rPr>
            </w:pPr>
          </w:p>
          <w:p w14:paraId="7A91C1CD"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44C4DB25" w14:textId="77777777" w:rsidR="00932009" w:rsidRDefault="00932009" w:rsidP="00C43554">
            <w:pPr>
              <w:pStyle w:val="NormalWeb"/>
              <w:spacing w:before="0" w:beforeAutospacing="0" w:after="0" w:afterAutospacing="0"/>
              <w:rPr>
                <w:rFonts w:ascii="Calibri" w:hAnsi="Calibri" w:cs="Calibri"/>
                <w:b/>
                <w:bCs/>
                <w:color w:val="FF0000"/>
                <w:sz w:val="20"/>
                <w:szCs w:val="20"/>
              </w:rPr>
            </w:pPr>
          </w:p>
          <w:p w14:paraId="4F17F614"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5483CB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F4E6EC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1EFCC5E0" w14:textId="77777777" w:rsidR="00932009" w:rsidRDefault="00932009" w:rsidP="00C43554">
            <w:pPr>
              <w:rPr>
                <w:rFonts w:ascii="Calibri" w:eastAsia="Times New Roman" w:hAnsi="Calibri" w:cs="Calibri"/>
                <w:color w:val="000000"/>
                <w:sz w:val="20"/>
                <w:szCs w:val="20"/>
                <w:lang w:eastAsia="en-GB"/>
              </w:rPr>
            </w:pPr>
          </w:p>
        </w:tc>
      </w:tr>
      <w:tr w:rsidR="00932009" w:rsidRPr="00185BAA" w14:paraId="1F8E8752" w14:textId="77777777" w:rsidTr="00932009">
        <w:tc>
          <w:tcPr>
            <w:tcW w:w="9067" w:type="dxa"/>
            <w:gridSpan w:val="2"/>
            <w:shd w:val="clear" w:color="auto" w:fill="DBE5F1" w:themeFill="accent1" w:themeFillTint="33"/>
          </w:tcPr>
          <w:p w14:paraId="4874416A" w14:textId="77777777" w:rsidR="00932009" w:rsidRDefault="00932009" w:rsidP="00C43554">
            <w:pPr>
              <w:rPr>
                <w:rFonts w:ascii="Calibri" w:eastAsia="Times New Roman" w:hAnsi="Calibri" w:cs="Calibri"/>
                <w:color w:val="000000"/>
                <w:sz w:val="20"/>
                <w:szCs w:val="20"/>
                <w:lang w:eastAsia="en-GB"/>
              </w:rPr>
            </w:pPr>
          </w:p>
          <w:p w14:paraId="2EFE66FC" w14:textId="77777777" w:rsidR="00932009"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27. Considerations in structuring the process to reach agreement</w:t>
            </w:r>
          </w:p>
          <w:p w14:paraId="70C1A577" w14:textId="77777777" w:rsidR="00932009" w:rsidRPr="00F03533" w:rsidRDefault="00932009" w:rsidP="00C43554">
            <w:pPr>
              <w:rPr>
                <w:rFonts w:ascii="Calibri" w:eastAsia="Times New Roman" w:hAnsi="Calibri" w:cs="Calibri"/>
                <w:color w:val="000000"/>
                <w:sz w:val="20"/>
                <w:szCs w:val="20"/>
                <w:lang w:eastAsia="en-GB"/>
              </w:rPr>
            </w:pPr>
          </w:p>
        </w:tc>
        <w:tc>
          <w:tcPr>
            <w:tcW w:w="5245" w:type="dxa"/>
            <w:shd w:val="clear" w:color="auto" w:fill="DBE5F1" w:themeFill="accent1" w:themeFillTint="33"/>
          </w:tcPr>
          <w:p w14:paraId="4FF5B0DA" w14:textId="77777777" w:rsidR="00932009" w:rsidRPr="00185BAA" w:rsidRDefault="00932009" w:rsidP="00C43554">
            <w:pPr>
              <w:rPr>
                <w:rFonts w:ascii="Calibri" w:eastAsia="Times New Roman" w:hAnsi="Calibri" w:cs="Calibri"/>
                <w:color w:val="000000"/>
                <w:sz w:val="20"/>
                <w:szCs w:val="20"/>
                <w:lang w:eastAsia="en-GB"/>
              </w:rPr>
            </w:pPr>
          </w:p>
        </w:tc>
      </w:tr>
      <w:tr w:rsidR="00932009" w:rsidRPr="00185BAA" w14:paraId="3815B669" w14:textId="77777777" w:rsidTr="00932009">
        <w:tc>
          <w:tcPr>
            <w:tcW w:w="2972" w:type="dxa"/>
          </w:tcPr>
          <w:p w14:paraId="39EA0C63" w14:textId="77777777" w:rsidR="00932009" w:rsidRPr="00F03533"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(a) On what issues can early agreement be envisaged? </w:t>
            </w:r>
          </w:p>
        </w:tc>
        <w:tc>
          <w:tcPr>
            <w:tcW w:w="6095" w:type="dxa"/>
          </w:tcPr>
          <w:p w14:paraId="62EA0343" w14:textId="77777777" w:rsidR="00932009" w:rsidRDefault="00932009" w:rsidP="00C43554">
            <w:pPr>
              <w:rPr>
                <w:color w:val="000000"/>
                <w:sz w:val="20"/>
                <w:szCs w:val="20"/>
                <w:lang w:eastAsia="en-GB"/>
              </w:rPr>
            </w:pPr>
          </w:p>
          <w:p w14:paraId="468BFE40" w14:textId="77777777" w:rsidR="00932009" w:rsidRDefault="00932009" w:rsidP="00C43554">
            <w:pPr>
              <w:rPr>
                <w:color w:val="000000"/>
                <w:sz w:val="20"/>
                <w:szCs w:val="20"/>
                <w:lang w:eastAsia="en-GB"/>
              </w:rPr>
            </w:pPr>
          </w:p>
          <w:p w14:paraId="03A5C016" w14:textId="77777777" w:rsidR="00932009" w:rsidRDefault="00932009" w:rsidP="00C43554">
            <w:pPr>
              <w:rPr>
                <w:rFonts w:ascii="Calibri" w:eastAsia="Times New Roman" w:hAnsi="Calibri" w:cs="Calibri"/>
                <w:color w:val="000000"/>
                <w:sz w:val="20"/>
                <w:szCs w:val="20"/>
                <w:lang w:eastAsia="en-GB"/>
              </w:rPr>
            </w:pPr>
          </w:p>
          <w:p w14:paraId="08C6AF83" w14:textId="77777777" w:rsidR="00932009" w:rsidRDefault="00932009" w:rsidP="00C43554">
            <w:pPr>
              <w:rPr>
                <w:rFonts w:ascii="Calibri" w:eastAsia="Times New Roman" w:hAnsi="Calibri" w:cs="Calibri"/>
                <w:color w:val="000000"/>
                <w:sz w:val="20"/>
                <w:szCs w:val="20"/>
                <w:lang w:eastAsia="en-GB"/>
              </w:rPr>
            </w:pPr>
          </w:p>
          <w:p w14:paraId="4947EBD0"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72E5F61"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90DFDC0" w14:textId="77777777" w:rsidR="00932009" w:rsidRDefault="00932009" w:rsidP="00C43554">
            <w:pPr>
              <w:rPr>
                <w:color w:val="000000"/>
                <w:sz w:val="20"/>
                <w:szCs w:val="20"/>
                <w:lang w:eastAsia="en-GB"/>
              </w:rPr>
            </w:pPr>
          </w:p>
          <w:p w14:paraId="28CCB612" w14:textId="77777777" w:rsidR="00932009" w:rsidRPr="00F03533" w:rsidRDefault="00932009" w:rsidP="00C43554">
            <w:pPr>
              <w:rPr>
                <w:rFonts w:ascii="Calibri" w:eastAsia="Times New Roman" w:hAnsi="Calibri" w:cs="Calibri"/>
                <w:color w:val="000000"/>
                <w:sz w:val="20"/>
                <w:szCs w:val="20"/>
                <w:lang w:eastAsia="en-GB"/>
              </w:rPr>
            </w:pPr>
          </w:p>
        </w:tc>
        <w:tc>
          <w:tcPr>
            <w:tcW w:w="5245" w:type="dxa"/>
          </w:tcPr>
          <w:p w14:paraId="5071AC2D" w14:textId="77777777" w:rsidR="00932009" w:rsidRDefault="00932009" w:rsidP="00C43554">
            <w:pPr>
              <w:rPr>
                <w:color w:val="000000"/>
                <w:sz w:val="20"/>
                <w:szCs w:val="20"/>
                <w:lang w:eastAsia="en-GB"/>
              </w:rPr>
            </w:pPr>
          </w:p>
          <w:p w14:paraId="33E719CF" w14:textId="77777777" w:rsidR="00932009" w:rsidRDefault="00932009" w:rsidP="00C43554">
            <w:pPr>
              <w:rPr>
                <w:color w:val="000000"/>
                <w:sz w:val="20"/>
                <w:szCs w:val="20"/>
                <w:lang w:eastAsia="en-GB"/>
              </w:rPr>
            </w:pPr>
          </w:p>
          <w:p w14:paraId="43D5DD69" w14:textId="77777777" w:rsidR="00932009" w:rsidRDefault="00932009" w:rsidP="00C43554">
            <w:pPr>
              <w:rPr>
                <w:rFonts w:ascii="Calibri" w:eastAsia="Times New Roman" w:hAnsi="Calibri" w:cs="Calibri"/>
                <w:color w:val="000000"/>
                <w:sz w:val="20"/>
                <w:szCs w:val="20"/>
                <w:lang w:eastAsia="en-GB"/>
              </w:rPr>
            </w:pPr>
          </w:p>
          <w:p w14:paraId="7E9BDC5C" w14:textId="77777777" w:rsidR="00932009" w:rsidRDefault="00932009" w:rsidP="00C43554">
            <w:pPr>
              <w:rPr>
                <w:rFonts w:ascii="Calibri" w:eastAsia="Times New Roman" w:hAnsi="Calibri" w:cs="Calibri"/>
                <w:color w:val="000000"/>
                <w:sz w:val="20"/>
                <w:szCs w:val="20"/>
                <w:lang w:eastAsia="en-GB"/>
              </w:rPr>
            </w:pPr>
          </w:p>
          <w:p w14:paraId="3C619FBF"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83A32A3"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BB55F4C"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0244E0D0" w14:textId="77777777" w:rsidTr="00932009">
        <w:tc>
          <w:tcPr>
            <w:tcW w:w="2972" w:type="dxa"/>
          </w:tcPr>
          <w:p w14:paraId="34039EC8" w14:textId="77777777" w:rsidR="00932009"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(b) What areas require further work to be undertaken by the secretariat or by the Chair of the committee?</w:t>
            </w:r>
          </w:p>
          <w:p w14:paraId="09EF20D2" w14:textId="77777777" w:rsidR="00932009" w:rsidRDefault="00932009" w:rsidP="00C43554">
            <w:pPr>
              <w:rPr>
                <w:rFonts w:ascii="Calibri" w:eastAsia="Times New Roman" w:hAnsi="Calibri" w:cs="Calibri"/>
                <w:color w:val="000000"/>
                <w:sz w:val="20"/>
                <w:szCs w:val="20"/>
                <w:lang w:eastAsia="en-GB"/>
              </w:rPr>
            </w:pPr>
          </w:p>
          <w:p w14:paraId="35CADAAD" w14:textId="77777777" w:rsidR="00932009" w:rsidRPr="00F03533" w:rsidRDefault="00932009" w:rsidP="00C43554">
            <w:pPr>
              <w:rPr>
                <w:rFonts w:ascii="Calibri" w:eastAsia="Times New Roman" w:hAnsi="Calibri" w:cs="Calibri"/>
                <w:color w:val="000000"/>
                <w:sz w:val="20"/>
                <w:szCs w:val="20"/>
                <w:lang w:eastAsia="en-GB"/>
              </w:rPr>
            </w:pPr>
          </w:p>
        </w:tc>
        <w:tc>
          <w:tcPr>
            <w:tcW w:w="6095" w:type="dxa"/>
          </w:tcPr>
          <w:p w14:paraId="4233F624"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5E768E01"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532AEC8"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467F026"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22748BD7"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C258D1F"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7A3CC2E" w14:textId="77777777" w:rsidR="00932009" w:rsidRDefault="00932009" w:rsidP="00C43554">
            <w:pPr>
              <w:rPr>
                <w:rFonts w:ascii="Calibri" w:eastAsia="Times New Roman" w:hAnsi="Calibri" w:cs="Calibri"/>
                <w:color w:val="000000"/>
                <w:sz w:val="20"/>
                <w:szCs w:val="20"/>
                <w:lang w:eastAsia="en-GB"/>
              </w:rPr>
            </w:pPr>
          </w:p>
          <w:p w14:paraId="61DCEC88"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36B05EE" w14:textId="77777777" w:rsidR="00932009" w:rsidRDefault="00932009" w:rsidP="00C43554">
            <w:pPr>
              <w:rPr>
                <w:rFonts w:ascii="Calibri" w:eastAsia="Times New Roman" w:hAnsi="Calibri" w:cs="Calibri"/>
                <w:color w:val="000000"/>
                <w:sz w:val="20"/>
                <w:szCs w:val="20"/>
                <w:lang w:eastAsia="en-GB"/>
              </w:rPr>
            </w:pPr>
          </w:p>
          <w:p w14:paraId="6BCF6435" w14:textId="77777777" w:rsidR="00932009" w:rsidRDefault="00932009" w:rsidP="00C43554">
            <w:pPr>
              <w:rPr>
                <w:rFonts w:ascii="Calibri" w:eastAsia="Times New Roman" w:hAnsi="Calibri" w:cs="Calibri"/>
                <w:color w:val="000000"/>
                <w:sz w:val="20"/>
                <w:szCs w:val="20"/>
                <w:lang w:eastAsia="en-GB"/>
              </w:rPr>
            </w:pPr>
          </w:p>
          <w:p w14:paraId="0E444310"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BCD6F63" w14:textId="77777777" w:rsidR="00932009" w:rsidRPr="00E4624A" w:rsidRDefault="00932009" w:rsidP="00C43554">
            <w:pPr>
              <w:pStyle w:val="NormalWeb"/>
              <w:spacing w:before="0" w:beforeAutospacing="0" w:after="0" w:afterAutospacing="0"/>
              <w:rPr>
                <w:rFonts w:ascii="Calibri" w:hAnsi="Calibri" w:cs="Calibri"/>
                <w:color w:val="000000"/>
                <w:sz w:val="20"/>
                <w:szCs w:val="20"/>
              </w:rPr>
            </w:pPr>
          </w:p>
        </w:tc>
        <w:tc>
          <w:tcPr>
            <w:tcW w:w="5245" w:type="dxa"/>
          </w:tcPr>
          <w:p w14:paraId="43371A1B" w14:textId="77777777" w:rsidR="00932009" w:rsidRDefault="00932009" w:rsidP="00C43554">
            <w:pPr>
              <w:rPr>
                <w:rFonts w:ascii="Calibri" w:eastAsia="Times New Roman" w:hAnsi="Calibri" w:cs="Calibri"/>
                <w:color w:val="000000"/>
                <w:sz w:val="20"/>
                <w:szCs w:val="20"/>
                <w:lang w:eastAsia="en-GB"/>
              </w:rPr>
            </w:pPr>
          </w:p>
          <w:p w14:paraId="33F16270" w14:textId="77777777" w:rsidR="00932009" w:rsidRDefault="00932009" w:rsidP="00C43554">
            <w:pPr>
              <w:pStyle w:val="NormalWeb"/>
              <w:spacing w:before="0" w:beforeAutospacing="0" w:after="0" w:afterAutospacing="0"/>
              <w:ind w:left="-47"/>
              <w:rPr>
                <w:rFonts w:ascii="Calibri" w:hAnsi="Calibri" w:cs="Calibri"/>
                <w:color w:val="000000"/>
                <w:sz w:val="20"/>
                <w:szCs w:val="20"/>
              </w:rPr>
            </w:pPr>
          </w:p>
          <w:p w14:paraId="4E5A3A5A" w14:textId="77777777" w:rsidR="00932009" w:rsidRDefault="00932009" w:rsidP="00C43554">
            <w:pPr>
              <w:rPr>
                <w:rFonts w:ascii="Calibri" w:eastAsia="Times New Roman" w:hAnsi="Calibri" w:cs="Calibri"/>
                <w:color w:val="000000"/>
                <w:sz w:val="20"/>
                <w:szCs w:val="20"/>
                <w:lang w:eastAsia="en-GB"/>
              </w:rPr>
            </w:pPr>
          </w:p>
          <w:p w14:paraId="767D7C76" w14:textId="77777777" w:rsidR="00932009" w:rsidRDefault="00932009" w:rsidP="00C43554">
            <w:pPr>
              <w:rPr>
                <w:rFonts w:ascii="Calibri" w:eastAsia="Times New Roman" w:hAnsi="Calibri" w:cs="Calibri"/>
                <w:color w:val="000000"/>
                <w:sz w:val="20"/>
                <w:szCs w:val="20"/>
                <w:lang w:eastAsia="en-GB"/>
              </w:rPr>
            </w:pPr>
          </w:p>
          <w:p w14:paraId="471CBF0A" w14:textId="77777777" w:rsidR="00932009" w:rsidRDefault="00932009" w:rsidP="00C43554">
            <w:pPr>
              <w:rPr>
                <w:rFonts w:ascii="Calibri" w:eastAsia="Times New Roman" w:hAnsi="Calibri" w:cs="Calibri"/>
                <w:color w:val="000000"/>
                <w:sz w:val="20"/>
                <w:szCs w:val="20"/>
                <w:lang w:eastAsia="en-GB"/>
              </w:rPr>
            </w:pPr>
          </w:p>
          <w:p w14:paraId="34D9CC5C" w14:textId="77777777" w:rsidR="00932009" w:rsidRDefault="00932009" w:rsidP="00C43554">
            <w:pPr>
              <w:rPr>
                <w:rFonts w:ascii="Calibri" w:eastAsia="Times New Roman" w:hAnsi="Calibri" w:cs="Calibri"/>
                <w:color w:val="000000"/>
                <w:sz w:val="20"/>
                <w:szCs w:val="20"/>
                <w:lang w:eastAsia="en-GB"/>
              </w:rPr>
            </w:pPr>
          </w:p>
          <w:p w14:paraId="2281A437"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2858DB2"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899DCF3"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1BE36B7"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945B530"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00CA789B" w14:textId="77777777" w:rsidTr="00932009">
        <w:tc>
          <w:tcPr>
            <w:tcW w:w="2972" w:type="dxa"/>
          </w:tcPr>
          <w:p w14:paraId="27714509" w14:textId="77777777" w:rsidR="00932009" w:rsidRPr="00185BAA"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t>By when?</w:t>
            </w:r>
          </w:p>
        </w:tc>
        <w:tc>
          <w:tcPr>
            <w:tcW w:w="6095" w:type="dxa"/>
          </w:tcPr>
          <w:p w14:paraId="3F7229F6" w14:textId="77777777" w:rsidR="00932009" w:rsidRDefault="00932009" w:rsidP="00C43554">
            <w:pPr>
              <w:rPr>
                <w:color w:val="000000"/>
                <w:sz w:val="20"/>
                <w:szCs w:val="20"/>
                <w:lang w:eastAsia="en-GB"/>
              </w:rPr>
            </w:pPr>
          </w:p>
          <w:p w14:paraId="19C09BFC" w14:textId="77777777" w:rsidR="00932009" w:rsidRDefault="00932009" w:rsidP="00C43554">
            <w:pPr>
              <w:rPr>
                <w:rFonts w:ascii="Calibri" w:eastAsia="Times New Roman" w:hAnsi="Calibri" w:cs="Calibri"/>
                <w:color w:val="000000"/>
                <w:sz w:val="20"/>
                <w:szCs w:val="20"/>
                <w:lang w:eastAsia="en-GB"/>
              </w:rPr>
            </w:pPr>
          </w:p>
          <w:p w14:paraId="0D2CCF51" w14:textId="77777777" w:rsidR="00932009" w:rsidRDefault="00932009" w:rsidP="00C43554">
            <w:pPr>
              <w:rPr>
                <w:rFonts w:ascii="Calibri" w:eastAsia="Times New Roman" w:hAnsi="Calibri" w:cs="Calibri"/>
                <w:color w:val="000000"/>
                <w:sz w:val="20"/>
                <w:szCs w:val="20"/>
                <w:lang w:eastAsia="en-GB"/>
              </w:rPr>
            </w:pPr>
          </w:p>
          <w:p w14:paraId="0B1A15D2"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02C3C008"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AAAA2DD" w14:textId="77777777" w:rsidR="00932009" w:rsidRPr="00A9522F" w:rsidRDefault="00932009" w:rsidP="00C43554">
            <w:pPr>
              <w:rPr>
                <w:rFonts w:ascii="Calibri" w:eastAsia="Times New Roman" w:hAnsi="Calibri" w:cs="Calibri"/>
                <w:color w:val="000000"/>
                <w:sz w:val="20"/>
                <w:szCs w:val="20"/>
                <w:lang w:eastAsia="en-GB"/>
              </w:rPr>
            </w:pPr>
          </w:p>
          <w:p w14:paraId="6F36B55A" w14:textId="77777777" w:rsidR="00932009" w:rsidRDefault="00932009" w:rsidP="00C43554">
            <w:pPr>
              <w:rPr>
                <w:color w:val="000000"/>
                <w:sz w:val="20"/>
                <w:szCs w:val="20"/>
                <w:lang w:eastAsia="en-GB"/>
              </w:rPr>
            </w:pPr>
          </w:p>
          <w:p w14:paraId="20D82FF7" w14:textId="77777777" w:rsidR="00932009" w:rsidRPr="00DC6200" w:rsidRDefault="00932009" w:rsidP="00C43554">
            <w:pPr>
              <w:pStyle w:val="NormalWeb"/>
              <w:spacing w:before="0" w:beforeAutospacing="0" w:after="0" w:afterAutospacing="0"/>
              <w:rPr>
                <w:rFonts w:ascii="Calibri" w:hAnsi="Calibri" w:cs="Calibri"/>
                <w:b/>
                <w:bCs/>
                <w:color w:val="000000"/>
                <w:sz w:val="20"/>
                <w:szCs w:val="20"/>
              </w:rPr>
            </w:pPr>
          </w:p>
        </w:tc>
        <w:tc>
          <w:tcPr>
            <w:tcW w:w="5245" w:type="dxa"/>
          </w:tcPr>
          <w:p w14:paraId="20B4CA5C" w14:textId="77777777" w:rsidR="00932009" w:rsidRDefault="00932009" w:rsidP="00C43554">
            <w:pPr>
              <w:rPr>
                <w:rFonts w:ascii="Calibri" w:eastAsia="Times New Roman" w:hAnsi="Calibri" w:cs="Calibri"/>
                <w:color w:val="000000"/>
                <w:sz w:val="20"/>
                <w:szCs w:val="20"/>
                <w:lang w:eastAsia="en-GB"/>
              </w:rPr>
            </w:pPr>
          </w:p>
          <w:p w14:paraId="52C3E4AB" w14:textId="77777777" w:rsidR="00932009" w:rsidRDefault="00932009" w:rsidP="00C43554">
            <w:pPr>
              <w:rPr>
                <w:color w:val="000000"/>
                <w:sz w:val="20"/>
                <w:szCs w:val="20"/>
                <w:lang w:eastAsia="en-GB"/>
              </w:rPr>
            </w:pPr>
          </w:p>
          <w:p w14:paraId="40284545" w14:textId="77777777" w:rsidR="00932009" w:rsidRDefault="00932009" w:rsidP="00C43554">
            <w:pPr>
              <w:rPr>
                <w:rFonts w:ascii="Calibri" w:eastAsia="Times New Roman" w:hAnsi="Calibri" w:cs="Calibri"/>
                <w:color w:val="000000"/>
                <w:sz w:val="20"/>
                <w:szCs w:val="20"/>
                <w:lang w:eastAsia="en-GB"/>
              </w:rPr>
            </w:pPr>
          </w:p>
          <w:p w14:paraId="63F6370A"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7AA65B4"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F0C99E2" w14:textId="77777777" w:rsidR="00932009" w:rsidRDefault="00932009" w:rsidP="00C43554">
            <w:pPr>
              <w:rPr>
                <w:rFonts w:ascii="Calibri" w:eastAsia="Times New Roman" w:hAnsi="Calibri" w:cs="Calibri"/>
                <w:color w:val="000000"/>
                <w:sz w:val="20"/>
                <w:szCs w:val="20"/>
                <w:lang w:eastAsia="en-GB"/>
              </w:rPr>
            </w:pPr>
          </w:p>
          <w:p w14:paraId="017857BC" w14:textId="77777777" w:rsidR="00932009" w:rsidRPr="00F03533" w:rsidRDefault="00932009" w:rsidP="00C43554">
            <w:pPr>
              <w:rPr>
                <w:rFonts w:ascii="Calibri" w:eastAsia="Times New Roman" w:hAnsi="Calibri" w:cs="Calibri"/>
                <w:color w:val="000000"/>
                <w:sz w:val="20"/>
                <w:szCs w:val="20"/>
                <w:lang w:eastAsia="en-GB"/>
              </w:rPr>
            </w:pPr>
          </w:p>
        </w:tc>
      </w:tr>
      <w:tr w:rsidR="00932009" w:rsidRPr="00185BAA" w14:paraId="66F58846" w14:textId="77777777" w:rsidTr="00932009">
        <w:tc>
          <w:tcPr>
            <w:tcW w:w="2972" w:type="dxa"/>
          </w:tcPr>
          <w:p w14:paraId="7281735A" w14:textId="77777777" w:rsidR="00932009" w:rsidRPr="00F03533" w:rsidRDefault="00932009" w:rsidP="00C43554">
            <w:pPr>
              <w:rPr>
                <w:rFonts w:ascii="Calibri" w:eastAsia="Times New Roman" w:hAnsi="Calibri" w:cs="Calibri"/>
                <w:color w:val="000000"/>
                <w:sz w:val="20"/>
                <w:szCs w:val="20"/>
                <w:lang w:eastAsia="en-GB"/>
              </w:rPr>
            </w:pPr>
            <w:r w:rsidRPr="00185BAA">
              <w:rPr>
                <w:rFonts w:ascii="Calibri" w:eastAsia="Times New Roman" w:hAnsi="Calibri" w:cs="Calibri"/>
                <w:color w:val="000000"/>
                <w:sz w:val="20"/>
                <w:szCs w:val="20"/>
                <w:lang w:eastAsia="en-GB"/>
              </w:rPr>
              <w:lastRenderedPageBreak/>
              <w:t xml:space="preserve">(c) How can the </w:t>
            </w:r>
            <w:r>
              <w:rPr>
                <w:rFonts w:ascii="Calibri" w:eastAsia="Times New Roman" w:hAnsi="Calibri" w:cs="Calibri"/>
                <w:color w:val="000000"/>
                <w:sz w:val="20"/>
                <w:szCs w:val="20"/>
                <w:lang w:eastAsia="en-GB"/>
              </w:rPr>
              <w:t>INC</w:t>
            </w:r>
            <w:r w:rsidRPr="00185BAA">
              <w:rPr>
                <w:rFonts w:ascii="Calibri" w:eastAsia="Times New Roman" w:hAnsi="Calibri" w:cs="Calibri"/>
                <w:color w:val="000000"/>
                <w:sz w:val="20"/>
                <w:szCs w:val="20"/>
                <w:lang w:eastAsia="en-GB"/>
              </w:rPr>
              <w:t xml:space="preserve"> ensure that the interests of all stakeholders are considered and contribute to the process of elaborating the instrument?</w:t>
            </w:r>
          </w:p>
        </w:tc>
        <w:tc>
          <w:tcPr>
            <w:tcW w:w="6095" w:type="dxa"/>
          </w:tcPr>
          <w:p w14:paraId="6B332D01" w14:textId="77777777" w:rsidR="00932009" w:rsidRDefault="00932009" w:rsidP="00C43554">
            <w:pPr>
              <w:rPr>
                <w:rFonts w:ascii="Calibri" w:eastAsia="Times New Roman" w:hAnsi="Calibri" w:cs="Calibri"/>
                <w:color w:val="000000"/>
                <w:sz w:val="20"/>
                <w:szCs w:val="20"/>
                <w:lang w:eastAsia="en-GB"/>
              </w:rPr>
            </w:pPr>
          </w:p>
          <w:p w14:paraId="255260D9" w14:textId="77777777" w:rsidR="00932009" w:rsidRDefault="00932009" w:rsidP="00C43554">
            <w:pPr>
              <w:rPr>
                <w:rFonts w:ascii="Calibri" w:eastAsia="Times New Roman" w:hAnsi="Calibri" w:cs="Calibri"/>
                <w:color w:val="000000"/>
                <w:sz w:val="20"/>
                <w:szCs w:val="20"/>
                <w:lang w:eastAsia="en-GB"/>
              </w:rPr>
            </w:pPr>
          </w:p>
          <w:p w14:paraId="645A2472" w14:textId="77777777" w:rsidR="00932009" w:rsidRDefault="00932009" w:rsidP="00C43554">
            <w:pPr>
              <w:rPr>
                <w:rFonts w:ascii="Calibri" w:eastAsia="Times New Roman" w:hAnsi="Calibri" w:cs="Calibri"/>
                <w:color w:val="000000"/>
                <w:sz w:val="20"/>
                <w:szCs w:val="20"/>
                <w:lang w:eastAsia="en-GB"/>
              </w:rPr>
            </w:pPr>
          </w:p>
          <w:p w14:paraId="71350B6B" w14:textId="77777777" w:rsidR="00932009" w:rsidRDefault="00932009" w:rsidP="00C43554">
            <w:pPr>
              <w:rPr>
                <w:rFonts w:ascii="Calibri" w:eastAsia="Times New Roman" w:hAnsi="Calibri" w:cs="Calibri"/>
                <w:color w:val="000000"/>
                <w:sz w:val="20"/>
                <w:szCs w:val="20"/>
                <w:lang w:eastAsia="en-GB"/>
              </w:rPr>
            </w:pPr>
          </w:p>
          <w:p w14:paraId="1B03F831"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2552E12" w14:textId="77777777" w:rsidR="00932009" w:rsidRDefault="00932009" w:rsidP="00C43554">
            <w:pPr>
              <w:rPr>
                <w:rFonts w:ascii="Calibri" w:eastAsia="Times New Roman" w:hAnsi="Calibri" w:cs="Calibri"/>
                <w:color w:val="000000"/>
                <w:sz w:val="20"/>
                <w:szCs w:val="20"/>
                <w:lang w:eastAsia="en-GB"/>
              </w:rPr>
            </w:pPr>
          </w:p>
          <w:p w14:paraId="18D519D8" w14:textId="77777777" w:rsidR="00932009" w:rsidRDefault="00932009" w:rsidP="00C43554">
            <w:pPr>
              <w:rPr>
                <w:rFonts w:ascii="Calibri" w:eastAsia="Times New Roman" w:hAnsi="Calibri" w:cs="Calibri"/>
                <w:color w:val="000000"/>
                <w:sz w:val="20"/>
                <w:szCs w:val="20"/>
                <w:lang w:eastAsia="en-GB"/>
              </w:rPr>
            </w:pPr>
          </w:p>
          <w:p w14:paraId="424D3AE1"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27D89831" w14:textId="77777777" w:rsidR="00932009" w:rsidRPr="00F03533" w:rsidRDefault="00932009" w:rsidP="00C43554">
            <w:pPr>
              <w:rPr>
                <w:rFonts w:ascii="Calibri" w:eastAsia="Times New Roman" w:hAnsi="Calibri" w:cs="Calibri"/>
                <w:color w:val="000000"/>
                <w:sz w:val="20"/>
                <w:szCs w:val="20"/>
                <w:lang w:eastAsia="en-GB"/>
              </w:rPr>
            </w:pPr>
          </w:p>
        </w:tc>
        <w:tc>
          <w:tcPr>
            <w:tcW w:w="5245" w:type="dxa"/>
          </w:tcPr>
          <w:p w14:paraId="3B534A18" w14:textId="77777777" w:rsidR="00932009" w:rsidRDefault="00932009" w:rsidP="00C43554">
            <w:pPr>
              <w:rPr>
                <w:rFonts w:ascii="Calibri" w:eastAsia="Times New Roman" w:hAnsi="Calibri" w:cs="Calibri"/>
                <w:color w:val="000000"/>
                <w:sz w:val="20"/>
                <w:szCs w:val="20"/>
                <w:lang w:eastAsia="en-GB"/>
              </w:rPr>
            </w:pPr>
          </w:p>
          <w:p w14:paraId="054E60B3" w14:textId="77777777" w:rsidR="00932009" w:rsidRDefault="00932009" w:rsidP="00C43554">
            <w:pPr>
              <w:rPr>
                <w:rFonts w:ascii="Calibri" w:eastAsia="Times New Roman" w:hAnsi="Calibri" w:cs="Calibri"/>
                <w:color w:val="000000"/>
                <w:sz w:val="20"/>
                <w:szCs w:val="20"/>
                <w:lang w:eastAsia="en-GB"/>
              </w:rPr>
            </w:pPr>
          </w:p>
          <w:p w14:paraId="2AE06EAC" w14:textId="77777777" w:rsidR="00932009" w:rsidRDefault="00932009" w:rsidP="00C43554">
            <w:pPr>
              <w:rPr>
                <w:rFonts w:ascii="Calibri" w:eastAsia="Times New Roman" w:hAnsi="Calibri" w:cs="Calibri"/>
                <w:color w:val="000000"/>
                <w:sz w:val="20"/>
                <w:szCs w:val="20"/>
                <w:lang w:eastAsia="en-GB"/>
              </w:rPr>
            </w:pPr>
          </w:p>
          <w:p w14:paraId="7F02866F" w14:textId="77777777" w:rsidR="00932009" w:rsidRDefault="00932009" w:rsidP="00C43554">
            <w:pPr>
              <w:rPr>
                <w:rFonts w:ascii="Calibri" w:eastAsia="Times New Roman" w:hAnsi="Calibri" w:cs="Calibri"/>
                <w:color w:val="000000"/>
                <w:sz w:val="20"/>
                <w:szCs w:val="20"/>
                <w:lang w:eastAsia="en-GB"/>
              </w:rPr>
            </w:pPr>
          </w:p>
          <w:p w14:paraId="1EEC5B3E"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6C752A5E" w14:textId="77777777" w:rsidR="00932009" w:rsidRDefault="0093200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5E757F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7726E729" w14:textId="77777777" w:rsidR="00932009" w:rsidRDefault="00932009" w:rsidP="00C43554">
            <w:pPr>
              <w:pStyle w:val="NormalWeb"/>
              <w:spacing w:before="0" w:beforeAutospacing="0" w:after="0" w:afterAutospacing="0"/>
              <w:rPr>
                <w:rFonts w:ascii="Calibri" w:hAnsi="Calibri" w:cs="Calibri"/>
                <w:color w:val="000000"/>
                <w:sz w:val="20"/>
                <w:szCs w:val="20"/>
              </w:rPr>
            </w:pPr>
          </w:p>
          <w:p w14:paraId="2A7F0BD4" w14:textId="77777777" w:rsidR="00932009" w:rsidRPr="00F03533" w:rsidRDefault="00932009" w:rsidP="00C43554">
            <w:pPr>
              <w:rPr>
                <w:rFonts w:ascii="Calibri" w:eastAsia="Times New Roman" w:hAnsi="Calibri" w:cs="Calibri"/>
                <w:color w:val="000000"/>
                <w:sz w:val="20"/>
                <w:szCs w:val="20"/>
                <w:lang w:eastAsia="en-GB"/>
              </w:rPr>
            </w:pPr>
          </w:p>
        </w:tc>
      </w:tr>
    </w:tbl>
    <w:p w14:paraId="0FBB2F4D" w14:textId="38BAFFE5" w:rsidR="00EC537D" w:rsidRPr="004C637F" w:rsidRDefault="00EC537D" w:rsidP="00932009">
      <w:pPr>
        <w:jc w:val="both"/>
        <w:rPr>
          <w:rFonts w:ascii="Arial" w:eastAsia="Arial" w:hAnsi="Arial" w:cs="Arial"/>
        </w:rPr>
      </w:pPr>
    </w:p>
    <w:sectPr w:rsidR="00EC537D" w:rsidRPr="004C637F" w:rsidSect="00932009">
      <w:headerReference w:type="default" r:id="rId8"/>
      <w:footerReference w:type="default" r:id="rId9"/>
      <w:pgSz w:w="16840" w:h="11900" w:orient="landscape"/>
      <w:pgMar w:top="1440" w:right="1440" w:bottom="1440" w:left="226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E716" w14:textId="77777777" w:rsidR="00922EE9" w:rsidRDefault="00922EE9">
      <w:r>
        <w:separator/>
      </w:r>
    </w:p>
  </w:endnote>
  <w:endnote w:type="continuationSeparator" w:id="0">
    <w:p w14:paraId="491B7101" w14:textId="77777777" w:rsidR="00922EE9" w:rsidRDefault="0092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A1" w14:textId="77777777" w:rsidR="00A261CD" w:rsidRPr="005F4374" w:rsidRDefault="00A261CD" w:rsidP="00A261CD">
    <w:pPr>
      <w:pStyle w:val="BodyA"/>
      <w:spacing w:line="312" w:lineRule="auto"/>
      <w:jc w:val="center"/>
      <w:rPr>
        <w:lang w:val="es-ES"/>
      </w:rPr>
    </w:pPr>
    <w:r>
      <w:rPr>
        <w:rFonts w:ascii="Arial" w:hAnsi="Arial"/>
        <w:color w:val="000090"/>
        <w:sz w:val="18"/>
        <w:szCs w:val="18"/>
        <w:u w:color="000090"/>
        <w:lang w:val="de-DE"/>
      </w:rPr>
      <w:t xml:space="preserve">PO Box 240, Apia, Samoa    T +685 21929    F +685 20231    </w:t>
    </w:r>
    <w:hyperlink r:id="rId1" w:history="1">
      <w:r w:rsidRPr="005F4374">
        <w:rPr>
          <w:rStyle w:val="Hyperlink0"/>
          <w:lang w:val="es-ES"/>
        </w:rPr>
        <w:t>sprep@sprep.org</w:t>
      </w:r>
    </w:hyperlink>
    <w:r w:rsidRPr="005F4374">
      <w:rPr>
        <w:rStyle w:val="None"/>
        <w:color w:val="000090"/>
        <w:u w:color="000090"/>
        <w:lang w:val="es-ES"/>
      </w:rPr>
      <w:t xml:space="preserve">   </w:t>
    </w:r>
    <w:hyperlink r:id="rId2" w:history="1">
      <w:r w:rsidRPr="005F4374">
        <w:rPr>
          <w:rStyle w:val="Hyperlink0"/>
          <w:lang w:val="es-ES"/>
        </w:rPr>
        <w:t>www.sprep.org</w:t>
      </w:r>
    </w:hyperlink>
  </w:p>
  <w:p w14:paraId="4FEE3FE1" w14:textId="77777777" w:rsidR="00A261CD" w:rsidRPr="005F4374" w:rsidRDefault="00A261CD" w:rsidP="00A261CD">
    <w:pPr>
      <w:pStyle w:val="BodyA"/>
      <w:spacing w:line="200" w:lineRule="exact"/>
      <w:jc w:val="center"/>
      <w:rPr>
        <w:rFonts w:ascii="Arial" w:hAnsi="Arial"/>
        <w:color w:val="AC7BCE"/>
        <w:sz w:val="18"/>
        <w:szCs w:val="18"/>
        <w:u w:color="008000"/>
        <w:lang w:val="es-ES"/>
      </w:rPr>
    </w:pPr>
  </w:p>
  <w:p w14:paraId="021568F8"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68977D" w14:textId="77777777" w:rsidR="00A261CD" w:rsidRDefault="00A261CD">
    <w:pPr>
      <w:pStyle w:val="Footer"/>
    </w:pPr>
  </w:p>
  <w:p w14:paraId="69883C06" w14:textId="77777777" w:rsidR="00EC537D" w:rsidRDefault="00EC5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63B3" w14:textId="77777777" w:rsidR="00922EE9" w:rsidRDefault="00922EE9">
      <w:r>
        <w:separator/>
      </w:r>
    </w:p>
  </w:footnote>
  <w:footnote w:type="continuationSeparator" w:id="0">
    <w:p w14:paraId="379973B7" w14:textId="77777777" w:rsidR="00922EE9" w:rsidRDefault="00922EE9">
      <w:r>
        <w:continuationSeparator/>
      </w:r>
    </w:p>
  </w:footnote>
  <w:footnote w:id="1">
    <w:p w14:paraId="5833A710" w14:textId="33770931" w:rsidR="005F4374" w:rsidRPr="005F4374" w:rsidRDefault="005F4374">
      <w:pPr>
        <w:pStyle w:val="FootnoteText"/>
        <w:rPr>
          <w:lang w:val="en-NZ"/>
        </w:rPr>
      </w:pPr>
      <w:r>
        <w:rPr>
          <w:rStyle w:val="FootnoteReference"/>
        </w:rPr>
        <w:footnoteRef/>
      </w:r>
      <w:r>
        <w:t xml:space="preserve"> </w:t>
      </w:r>
      <w:hyperlink r:id="rId1" w:history="1">
        <w:r>
          <w:rPr>
            <w:rStyle w:val="Hyperlink"/>
          </w:rPr>
          <w:t>from EIA and CIEL Sequencing of work for the INC 4th July 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60B" w14:textId="77777777" w:rsidR="00EC537D" w:rsidRDefault="00E17152">
    <w:pPr>
      <w:pStyle w:val="Header"/>
      <w:spacing w:after="0"/>
    </w:pPr>
    <w:r>
      <w:rPr>
        <w:noProof/>
        <w:lang w:val="en-AU"/>
      </w:rPr>
      <w:drawing>
        <wp:anchor distT="152400" distB="152400" distL="152400" distR="152400" simplePos="0" relativeHeight="251658240" behindDoc="1" locked="0" layoutInCell="1" allowOverlap="1" wp14:anchorId="382A2AC5" wp14:editId="44B78F4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8D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7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D9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FBE4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EF45170"/>
    <w:multiLevelType w:val="hybridMultilevel"/>
    <w:tmpl w:val="B992B1D8"/>
    <w:lvl w:ilvl="0" w:tplc="12908766">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51539"/>
    <w:multiLevelType w:val="hybridMultilevel"/>
    <w:tmpl w:val="FFFFFFFF"/>
    <w:lvl w:ilvl="0" w:tplc="FFFFFFFF">
      <w:start w:val="1"/>
      <w:numFmt w:val="decimal"/>
      <w:lvlText w:val="%1."/>
      <w:lvlJc w:val="left"/>
      <w:pPr>
        <w:ind w:left="1080" w:hanging="720"/>
      </w:pPr>
      <w:rPr>
        <w:rFonts w:ascii="Helvetica" w:hAnsi="Helvetica" w:cs="Helvetica"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1D9668D"/>
    <w:multiLevelType w:val="hybridMultilevel"/>
    <w:tmpl w:val="FDBE0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BA48A8"/>
    <w:multiLevelType w:val="multilevel"/>
    <w:tmpl w:val="B136D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3F1829"/>
    <w:multiLevelType w:val="hybridMultilevel"/>
    <w:tmpl w:val="31226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CB7712"/>
    <w:multiLevelType w:val="hybridMultilevel"/>
    <w:tmpl w:val="FFFFFFFF"/>
    <w:lvl w:ilvl="0" w:tplc="0B7E378A">
      <w:start w:val="1"/>
      <w:numFmt w:val="decimal"/>
      <w:lvlText w:val="%1."/>
      <w:lvlJc w:val="left"/>
      <w:pPr>
        <w:ind w:left="1080" w:hanging="720"/>
      </w:pPr>
      <w:rPr>
        <w:rFonts w:ascii="Helvetica" w:hAnsi="Helvetica" w:cs="Helvetica" w:hint="default"/>
        <w:b/>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AD32835"/>
    <w:multiLevelType w:val="hybridMultilevel"/>
    <w:tmpl w:val="67E2C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323B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3" w15:restartNumberingAfterBreak="0">
    <w:nsid w:val="3A75472E"/>
    <w:multiLevelType w:val="hybridMultilevel"/>
    <w:tmpl w:val="C8A026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783E99"/>
    <w:multiLevelType w:val="hybridMultilevel"/>
    <w:tmpl w:val="EDAEB38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6842A3"/>
    <w:multiLevelType w:val="hybridMultilevel"/>
    <w:tmpl w:val="625E3EC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934957"/>
    <w:multiLevelType w:val="hybridMultilevel"/>
    <w:tmpl w:val="FFFFFFFF"/>
    <w:lvl w:ilvl="0" w:tplc="FAB21CC6">
      <w:start w:val="1"/>
      <w:numFmt w:val="lowerLetter"/>
      <w:lvlText w:val="(%1)"/>
      <w:lvlJc w:val="left"/>
      <w:pPr>
        <w:ind w:left="2617" w:hanging="625"/>
      </w:pPr>
      <w:rPr>
        <w:rFonts w:ascii="Times New Roman" w:eastAsia="Times New Roman" w:hAnsi="Times New Roman" w:cs="Times New Roman" w:hint="default"/>
        <w:w w:val="99"/>
        <w:sz w:val="20"/>
        <w:szCs w:val="20"/>
      </w:rPr>
    </w:lvl>
    <w:lvl w:ilvl="1" w:tplc="56906C96">
      <w:numFmt w:val="bullet"/>
      <w:lvlText w:val="•"/>
      <w:lvlJc w:val="left"/>
      <w:pPr>
        <w:ind w:left="3358" w:hanging="625"/>
      </w:pPr>
      <w:rPr>
        <w:rFonts w:hint="default"/>
      </w:rPr>
    </w:lvl>
    <w:lvl w:ilvl="2" w:tplc="4A1A1DF4">
      <w:numFmt w:val="bullet"/>
      <w:lvlText w:val="•"/>
      <w:lvlJc w:val="left"/>
      <w:pPr>
        <w:ind w:left="4097" w:hanging="625"/>
      </w:pPr>
      <w:rPr>
        <w:rFonts w:hint="default"/>
      </w:rPr>
    </w:lvl>
    <w:lvl w:ilvl="3" w:tplc="5EC418FE">
      <w:numFmt w:val="bullet"/>
      <w:lvlText w:val="•"/>
      <w:lvlJc w:val="left"/>
      <w:pPr>
        <w:ind w:left="4835" w:hanging="625"/>
      </w:pPr>
      <w:rPr>
        <w:rFonts w:hint="default"/>
      </w:rPr>
    </w:lvl>
    <w:lvl w:ilvl="4" w:tplc="44AAB22A">
      <w:numFmt w:val="bullet"/>
      <w:lvlText w:val="•"/>
      <w:lvlJc w:val="left"/>
      <w:pPr>
        <w:ind w:left="5574" w:hanging="625"/>
      </w:pPr>
      <w:rPr>
        <w:rFonts w:hint="default"/>
      </w:rPr>
    </w:lvl>
    <w:lvl w:ilvl="5" w:tplc="90BADD12">
      <w:numFmt w:val="bullet"/>
      <w:lvlText w:val="•"/>
      <w:lvlJc w:val="left"/>
      <w:pPr>
        <w:ind w:left="6313" w:hanging="625"/>
      </w:pPr>
      <w:rPr>
        <w:rFonts w:hint="default"/>
      </w:rPr>
    </w:lvl>
    <w:lvl w:ilvl="6" w:tplc="88EAF33C">
      <w:numFmt w:val="bullet"/>
      <w:lvlText w:val="•"/>
      <w:lvlJc w:val="left"/>
      <w:pPr>
        <w:ind w:left="7051" w:hanging="625"/>
      </w:pPr>
      <w:rPr>
        <w:rFonts w:hint="default"/>
      </w:rPr>
    </w:lvl>
    <w:lvl w:ilvl="7" w:tplc="0026F62E">
      <w:numFmt w:val="bullet"/>
      <w:lvlText w:val="•"/>
      <w:lvlJc w:val="left"/>
      <w:pPr>
        <w:ind w:left="7790" w:hanging="625"/>
      </w:pPr>
      <w:rPr>
        <w:rFonts w:hint="default"/>
      </w:rPr>
    </w:lvl>
    <w:lvl w:ilvl="8" w:tplc="F2D4563C">
      <w:numFmt w:val="bullet"/>
      <w:lvlText w:val="•"/>
      <w:lvlJc w:val="left"/>
      <w:pPr>
        <w:ind w:left="8529" w:hanging="625"/>
      </w:pPr>
      <w:rPr>
        <w:rFonts w:hint="default"/>
      </w:rPr>
    </w:lvl>
  </w:abstractNum>
  <w:abstractNum w:abstractNumId="17" w15:restartNumberingAfterBreak="0">
    <w:nsid w:val="4B1400B3"/>
    <w:multiLevelType w:val="hybridMultilevel"/>
    <w:tmpl w:val="CA526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970F3B"/>
    <w:multiLevelType w:val="hybridMultilevel"/>
    <w:tmpl w:val="EC089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B7082C"/>
    <w:multiLevelType w:val="hybridMultilevel"/>
    <w:tmpl w:val="4126E44C"/>
    <w:lvl w:ilvl="0" w:tplc="B9381FEE">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513FB"/>
    <w:multiLevelType w:val="hybridMultilevel"/>
    <w:tmpl w:val="5F42D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05765"/>
    <w:multiLevelType w:val="hybridMultilevel"/>
    <w:tmpl w:val="0D8612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35A3D"/>
    <w:multiLevelType w:val="hybridMultilevel"/>
    <w:tmpl w:val="64C65762"/>
    <w:lvl w:ilvl="0" w:tplc="AE5ED3AE">
      <w:start w:val="1"/>
      <w:numFmt w:val="bullet"/>
      <w:lvlText w:val=""/>
      <w:lvlJc w:val="left"/>
      <w:pPr>
        <w:ind w:left="720" w:hanging="360"/>
      </w:pPr>
      <w:rPr>
        <w:rFonts w:ascii="Symbol" w:hAnsi="Symbol" w:hint="default"/>
      </w:rPr>
    </w:lvl>
    <w:lvl w:ilvl="1" w:tplc="73C017C4">
      <w:start w:val="1"/>
      <w:numFmt w:val="bullet"/>
      <w:lvlText w:val="o"/>
      <w:lvlJc w:val="left"/>
      <w:pPr>
        <w:ind w:left="1440" w:hanging="360"/>
      </w:pPr>
      <w:rPr>
        <w:rFonts w:ascii="Courier New" w:hAnsi="Courier New" w:hint="default"/>
      </w:rPr>
    </w:lvl>
    <w:lvl w:ilvl="2" w:tplc="24A8B7BA">
      <w:start w:val="1"/>
      <w:numFmt w:val="bullet"/>
      <w:lvlText w:val=""/>
      <w:lvlJc w:val="left"/>
      <w:pPr>
        <w:ind w:left="2160" w:hanging="360"/>
      </w:pPr>
      <w:rPr>
        <w:rFonts w:ascii="Wingdings" w:hAnsi="Wingdings" w:hint="default"/>
      </w:rPr>
    </w:lvl>
    <w:lvl w:ilvl="3" w:tplc="E822EC10">
      <w:start w:val="1"/>
      <w:numFmt w:val="bullet"/>
      <w:lvlText w:val=""/>
      <w:lvlJc w:val="left"/>
      <w:pPr>
        <w:ind w:left="2880" w:hanging="360"/>
      </w:pPr>
      <w:rPr>
        <w:rFonts w:ascii="Symbol" w:hAnsi="Symbol" w:hint="default"/>
      </w:rPr>
    </w:lvl>
    <w:lvl w:ilvl="4" w:tplc="E1901244">
      <w:start w:val="1"/>
      <w:numFmt w:val="bullet"/>
      <w:lvlText w:val="o"/>
      <w:lvlJc w:val="left"/>
      <w:pPr>
        <w:ind w:left="3600" w:hanging="360"/>
      </w:pPr>
      <w:rPr>
        <w:rFonts w:ascii="Courier New" w:hAnsi="Courier New" w:hint="default"/>
      </w:rPr>
    </w:lvl>
    <w:lvl w:ilvl="5" w:tplc="11A66A7E">
      <w:start w:val="1"/>
      <w:numFmt w:val="bullet"/>
      <w:lvlText w:val=""/>
      <w:lvlJc w:val="left"/>
      <w:pPr>
        <w:ind w:left="4320" w:hanging="360"/>
      </w:pPr>
      <w:rPr>
        <w:rFonts w:ascii="Wingdings" w:hAnsi="Wingdings" w:hint="default"/>
      </w:rPr>
    </w:lvl>
    <w:lvl w:ilvl="6" w:tplc="DEDA0FF8">
      <w:start w:val="1"/>
      <w:numFmt w:val="bullet"/>
      <w:lvlText w:val=""/>
      <w:lvlJc w:val="left"/>
      <w:pPr>
        <w:ind w:left="5040" w:hanging="360"/>
      </w:pPr>
      <w:rPr>
        <w:rFonts w:ascii="Symbol" w:hAnsi="Symbol" w:hint="default"/>
      </w:rPr>
    </w:lvl>
    <w:lvl w:ilvl="7" w:tplc="0ADE3D46">
      <w:start w:val="1"/>
      <w:numFmt w:val="bullet"/>
      <w:lvlText w:val="o"/>
      <w:lvlJc w:val="left"/>
      <w:pPr>
        <w:ind w:left="5760" w:hanging="360"/>
      </w:pPr>
      <w:rPr>
        <w:rFonts w:ascii="Courier New" w:hAnsi="Courier New" w:hint="default"/>
      </w:rPr>
    </w:lvl>
    <w:lvl w:ilvl="8" w:tplc="2488E8D8">
      <w:start w:val="1"/>
      <w:numFmt w:val="bullet"/>
      <w:lvlText w:val=""/>
      <w:lvlJc w:val="left"/>
      <w:pPr>
        <w:ind w:left="6480" w:hanging="360"/>
      </w:pPr>
      <w:rPr>
        <w:rFonts w:ascii="Wingdings" w:hAnsi="Wingdings" w:hint="default"/>
      </w:rPr>
    </w:lvl>
  </w:abstractNum>
  <w:abstractNum w:abstractNumId="23" w15:restartNumberingAfterBreak="0">
    <w:nsid w:val="6341117B"/>
    <w:multiLevelType w:val="hybridMultilevel"/>
    <w:tmpl w:val="FFFFFFFF"/>
    <w:lvl w:ilvl="0" w:tplc="D090B69C">
      <w:start w:val="1"/>
      <w:numFmt w:val="decimal"/>
      <w:lvlText w:val="%1."/>
      <w:lvlJc w:val="left"/>
      <w:pPr>
        <w:ind w:left="1368" w:hanging="625"/>
      </w:pPr>
      <w:rPr>
        <w:rFonts w:ascii="Times New Roman" w:eastAsia="Times New Roman" w:hAnsi="Times New Roman" w:cs="Times New Roman" w:hint="default"/>
        <w:spacing w:val="0"/>
        <w:w w:val="99"/>
        <w:sz w:val="20"/>
        <w:szCs w:val="20"/>
      </w:rPr>
    </w:lvl>
    <w:lvl w:ilvl="1" w:tplc="2E5A8808">
      <w:numFmt w:val="bullet"/>
      <w:lvlText w:val="•"/>
      <w:lvlJc w:val="left"/>
      <w:pPr>
        <w:ind w:left="2224" w:hanging="625"/>
      </w:pPr>
      <w:rPr>
        <w:rFonts w:hint="default"/>
      </w:rPr>
    </w:lvl>
    <w:lvl w:ilvl="2" w:tplc="FEBAE624">
      <w:numFmt w:val="bullet"/>
      <w:lvlText w:val="•"/>
      <w:lvlJc w:val="left"/>
      <w:pPr>
        <w:ind w:left="3089" w:hanging="625"/>
      </w:pPr>
      <w:rPr>
        <w:rFonts w:hint="default"/>
      </w:rPr>
    </w:lvl>
    <w:lvl w:ilvl="3" w:tplc="909C4650">
      <w:numFmt w:val="bullet"/>
      <w:lvlText w:val="•"/>
      <w:lvlJc w:val="left"/>
      <w:pPr>
        <w:ind w:left="3953" w:hanging="625"/>
      </w:pPr>
      <w:rPr>
        <w:rFonts w:hint="default"/>
      </w:rPr>
    </w:lvl>
    <w:lvl w:ilvl="4" w:tplc="EECA4B3A">
      <w:numFmt w:val="bullet"/>
      <w:lvlText w:val="•"/>
      <w:lvlJc w:val="left"/>
      <w:pPr>
        <w:ind w:left="4818" w:hanging="625"/>
      </w:pPr>
      <w:rPr>
        <w:rFonts w:hint="default"/>
      </w:rPr>
    </w:lvl>
    <w:lvl w:ilvl="5" w:tplc="847E6A78">
      <w:numFmt w:val="bullet"/>
      <w:lvlText w:val="•"/>
      <w:lvlJc w:val="left"/>
      <w:pPr>
        <w:ind w:left="5683" w:hanging="625"/>
      </w:pPr>
      <w:rPr>
        <w:rFonts w:hint="default"/>
      </w:rPr>
    </w:lvl>
    <w:lvl w:ilvl="6" w:tplc="16ECB0DA">
      <w:numFmt w:val="bullet"/>
      <w:lvlText w:val="•"/>
      <w:lvlJc w:val="left"/>
      <w:pPr>
        <w:ind w:left="6547" w:hanging="625"/>
      </w:pPr>
      <w:rPr>
        <w:rFonts w:hint="default"/>
      </w:rPr>
    </w:lvl>
    <w:lvl w:ilvl="7" w:tplc="4818391A">
      <w:numFmt w:val="bullet"/>
      <w:lvlText w:val="•"/>
      <w:lvlJc w:val="left"/>
      <w:pPr>
        <w:ind w:left="7412" w:hanging="625"/>
      </w:pPr>
      <w:rPr>
        <w:rFonts w:hint="default"/>
      </w:rPr>
    </w:lvl>
    <w:lvl w:ilvl="8" w:tplc="14987054">
      <w:numFmt w:val="bullet"/>
      <w:lvlText w:val="•"/>
      <w:lvlJc w:val="left"/>
      <w:pPr>
        <w:ind w:left="8277" w:hanging="625"/>
      </w:pPr>
      <w:rPr>
        <w:rFonts w:hint="default"/>
      </w:rPr>
    </w:lvl>
  </w:abstractNum>
  <w:abstractNum w:abstractNumId="24" w15:restartNumberingAfterBreak="0">
    <w:nsid w:val="63690416"/>
    <w:multiLevelType w:val="hybridMultilevel"/>
    <w:tmpl w:val="6C8488AE"/>
    <w:lvl w:ilvl="0" w:tplc="9E0CDE58">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AA59A8"/>
    <w:multiLevelType w:val="hybridMultilevel"/>
    <w:tmpl w:val="F46A3DBE"/>
    <w:lvl w:ilvl="0" w:tplc="0C090001">
      <w:start w:val="1"/>
      <w:numFmt w:val="bullet"/>
      <w:lvlText w:val=""/>
      <w:lvlJc w:val="left"/>
      <w:pPr>
        <w:ind w:left="1080" w:hanging="720"/>
      </w:pPr>
      <w:rPr>
        <w:rFonts w:ascii="Symbol" w:hAnsi="Symbol"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79616191"/>
    <w:multiLevelType w:val="hybridMultilevel"/>
    <w:tmpl w:val="FFFFFFFF"/>
    <w:lvl w:ilvl="0" w:tplc="38A4783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7" w15:restartNumberingAfterBreak="0">
    <w:nsid w:val="7E1C5E09"/>
    <w:multiLevelType w:val="hybridMultilevel"/>
    <w:tmpl w:val="0E425D14"/>
    <w:lvl w:ilvl="0" w:tplc="1534DDB6">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89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3315">
    <w:abstractNumId w:val="7"/>
  </w:num>
  <w:num w:numId="3" w16cid:durableId="2018069452">
    <w:abstractNumId w:val="0"/>
  </w:num>
  <w:num w:numId="4" w16cid:durableId="1875456765">
    <w:abstractNumId w:val="2"/>
  </w:num>
  <w:num w:numId="5" w16cid:durableId="858196655">
    <w:abstractNumId w:val="1"/>
  </w:num>
  <w:num w:numId="6" w16cid:durableId="614748487">
    <w:abstractNumId w:val="20"/>
  </w:num>
  <w:num w:numId="7" w16cid:durableId="1092357735">
    <w:abstractNumId w:val="21"/>
  </w:num>
  <w:num w:numId="8" w16cid:durableId="426584575">
    <w:abstractNumId w:val="10"/>
  </w:num>
  <w:num w:numId="9" w16cid:durableId="18625826">
    <w:abstractNumId w:val="9"/>
  </w:num>
  <w:num w:numId="10" w16cid:durableId="540749122">
    <w:abstractNumId w:val="5"/>
  </w:num>
  <w:num w:numId="11" w16cid:durableId="1994218903">
    <w:abstractNumId w:val="11"/>
  </w:num>
  <w:num w:numId="12" w16cid:durableId="287663089">
    <w:abstractNumId w:val="25"/>
  </w:num>
  <w:num w:numId="13" w16cid:durableId="822548787">
    <w:abstractNumId w:val="6"/>
  </w:num>
  <w:num w:numId="14" w16cid:durableId="1656375150">
    <w:abstractNumId w:val="14"/>
  </w:num>
  <w:num w:numId="15" w16cid:durableId="788208521">
    <w:abstractNumId w:val="13"/>
  </w:num>
  <w:num w:numId="16" w16cid:durableId="1035809016">
    <w:abstractNumId w:val="15"/>
  </w:num>
  <w:num w:numId="17" w16cid:durableId="164975612">
    <w:abstractNumId w:val="3"/>
  </w:num>
  <w:num w:numId="18" w16cid:durableId="1671716082">
    <w:abstractNumId w:val="26"/>
  </w:num>
  <w:num w:numId="19" w16cid:durableId="1894190372">
    <w:abstractNumId w:val="24"/>
  </w:num>
  <w:num w:numId="20" w16cid:durableId="987708493">
    <w:abstractNumId w:val="27"/>
  </w:num>
  <w:num w:numId="21" w16cid:durableId="502936871">
    <w:abstractNumId w:val="19"/>
  </w:num>
  <w:num w:numId="22" w16cid:durableId="1440224865">
    <w:abstractNumId w:val="8"/>
  </w:num>
  <w:num w:numId="23" w16cid:durableId="689137515">
    <w:abstractNumId w:val="18"/>
  </w:num>
  <w:num w:numId="24" w16cid:durableId="1909802635">
    <w:abstractNumId w:val="17"/>
  </w:num>
  <w:num w:numId="25" w16cid:durableId="217209389">
    <w:abstractNumId w:val="16"/>
  </w:num>
  <w:num w:numId="26" w16cid:durableId="236289055">
    <w:abstractNumId w:val="23"/>
  </w:num>
  <w:num w:numId="27" w16cid:durableId="1049722124">
    <w:abstractNumId w:val="22"/>
  </w:num>
  <w:num w:numId="28" w16cid:durableId="2112044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02C00"/>
    <w:rsid w:val="00023D94"/>
    <w:rsid w:val="00045262"/>
    <w:rsid w:val="00072AA5"/>
    <w:rsid w:val="000940C8"/>
    <w:rsid w:val="000C308C"/>
    <w:rsid w:val="000E6D0B"/>
    <w:rsid w:val="001120CC"/>
    <w:rsid w:val="00124ED8"/>
    <w:rsid w:val="00145DE7"/>
    <w:rsid w:val="00145E28"/>
    <w:rsid w:val="0015023A"/>
    <w:rsid w:val="001A41F6"/>
    <w:rsid w:val="00203D85"/>
    <w:rsid w:val="00240377"/>
    <w:rsid w:val="002F4C8F"/>
    <w:rsid w:val="00306A5C"/>
    <w:rsid w:val="00321B4F"/>
    <w:rsid w:val="00327FA7"/>
    <w:rsid w:val="00363EC9"/>
    <w:rsid w:val="0039639D"/>
    <w:rsid w:val="003B22CE"/>
    <w:rsid w:val="004007C6"/>
    <w:rsid w:val="00447A4C"/>
    <w:rsid w:val="004744CE"/>
    <w:rsid w:val="004A46BF"/>
    <w:rsid w:val="004B057C"/>
    <w:rsid w:val="004B1846"/>
    <w:rsid w:val="004C637F"/>
    <w:rsid w:val="005043C6"/>
    <w:rsid w:val="00512E2B"/>
    <w:rsid w:val="005154B9"/>
    <w:rsid w:val="00536378"/>
    <w:rsid w:val="0055162C"/>
    <w:rsid w:val="00590C46"/>
    <w:rsid w:val="005A3C29"/>
    <w:rsid w:val="005B745C"/>
    <w:rsid w:val="005D3FED"/>
    <w:rsid w:val="005F4374"/>
    <w:rsid w:val="00607FBD"/>
    <w:rsid w:val="0062104C"/>
    <w:rsid w:val="00691C3F"/>
    <w:rsid w:val="006B2CCF"/>
    <w:rsid w:val="006B4D08"/>
    <w:rsid w:val="006E6DD0"/>
    <w:rsid w:val="0070073B"/>
    <w:rsid w:val="00726259"/>
    <w:rsid w:val="007425FC"/>
    <w:rsid w:val="00753967"/>
    <w:rsid w:val="00762CA6"/>
    <w:rsid w:val="007D5E57"/>
    <w:rsid w:val="007E45DE"/>
    <w:rsid w:val="007F0E50"/>
    <w:rsid w:val="00813EE9"/>
    <w:rsid w:val="008858AA"/>
    <w:rsid w:val="008A3946"/>
    <w:rsid w:val="008B0C77"/>
    <w:rsid w:val="008B1CA7"/>
    <w:rsid w:val="008F31D1"/>
    <w:rsid w:val="0090170F"/>
    <w:rsid w:val="00912AB1"/>
    <w:rsid w:val="00922EE9"/>
    <w:rsid w:val="00924854"/>
    <w:rsid w:val="00930223"/>
    <w:rsid w:val="00932009"/>
    <w:rsid w:val="009463EB"/>
    <w:rsid w:val="009732FD"/>
    <w:rsid w:val="009820E1"/>
    <w:rsid w:val="009B573A"/>
    <w:rsid w:val="00A261CD"/>
    <w:rsid w:val="00A54262"/>
    <w:rsid w:val="00A6560A"/>
    <w:rsid w:val="00A700BC"/>
    <w:rsid w:val="00A72BF0"/>
    <w:rsid w:val="00AC02DE"/>
    <w:rsid w:val="00AE50BF"/>
    <w:rsid w:val="00B4600C"/>
    <w:rsid w:val="00B81214"/>
    <w:rsid w:val="00B921AA"/>
    <w:rsid w:val="00BA3316"/>
    <w:rsid w:val="00BA6529"/>
    <w:rsid w:val="00BB084A"/>
    <w:rsid w:val="00BD101B"/>
    <w:rsid w:val="00C17B81"/>
    <w:rsid w:val="00C3460C"/>
    <w:rsid w:val="00C53138"/>
    <w:rsid w:val="00C84A8E"/>
    <w:rsid w:val="00CC0349"/>
    <w:rsid w:val="00CC43CE"/>
    <w:rsid w:val="00CD7945"/>
    <w:rsid w:val="00D03415"/>
    <w:rsid w:val="00D5461B"/>
    <w:rsid w:val="00D93748"/>
    <w:rsid w:val="00DF00DE"/>
    <w:rsid w:val="00E15BC6"/>
    <w:rsid w:val="00E17152"/>
    <w:rsid w:val="00E471FC"/>
    <w:rsid w:val="00E611F8"/>
    <w:rsid w:val="00E869A3"/>
    <w:rsid w:val="00EA1D5F"/>
    <w:rsid w:val="00EC537D"/>
    <w:rsid w:val="00ED392D"/>
    <w:rsid w:val="00EE2E0B"/>
    <w:rsid w:val="00EF5D0C"/>
    <w:rsid w:val="00F254CB"/>
    <w:rsid w:val="00F31FF7"/>
    <w:rsid w:val="00F45F67"/>
    <w:rsid w:val="00FB439E"/>
    <w:rsid w:val="00FC212A"/>
    <w:rsid w:val="00FD41AE"/>
    <w:rsid w:val="00FD5779"/>
    <w:rsid w:val="00FE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5FE"/>
  <w15:docId w15:val="{730D5B00-24C7-47B2-8D63-C7320CC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tabs>
        <w:tab w:val="center" w:pos="4513"/>
        <w:tab w:val="right" w:pos="9026"/>
      </w:tabs>
    </w:p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styleId="ListParagraph">
    <w:name w:val="List Paragraph"/>
    <w:basedOn w:val="Normal"/>
    <w:uiPriority w:val="34"/>
    <w:qFormat/>
    <w:rsid w:val="009463EB"/>
    <w:pPr>
      <w:ind w:left="720"/>
      <w:contextualSpacing/>
    </w:pPr>
  </w:style>
  <w:style w:type="paragraph" w:customStyle="1" w:styleId="Default">
    <w:name w:val="Default"/>
    <w:rsid w:val="00912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63EC9"/>
    <w:rPr>
      <w:color w:val="605E5C"/>
      <w:shd w:val="clear" w:color="auto" w:fill="E1DFDD"/>
    </w:rPr>
  </w:style>
  <w:style w:type="character" w:customStyle="1" w:styleId="A7">
    <w:name w:val="A7"/>
    <w:uiPriority w:val="99"/>
    <w:rsid w:val="00536378"/>
    <w:rPr>
      <w:rFonts w:ascii="Helvetica Condensed" w:hAnsi="Helvetica Condensed"/>
      <w:color w:val="007CBB"/>
      <w:sz w:val="19"/>
      <w:u w:val="single"/>
    </w:rPr>
  </w:style>
  <w:style w:type="character" w:customStyle="1" w:styleId="A10">
    <w:name w:val="A10"/>
    <w:uiPriority w:val="99"/>
    <w:rsid w:val="00536378"/>
    <w:rPr>
      <w:rFonts w:ascii="Helvetica" w:hAnsi="Helvetica"/>
      <w:color w:val="221E1F"/>
      <w:sz w:val="11"/>
    </w:rPr>
  </w:style>
  <w:style w:type="character" w:styleId="Emphasis">
    <w:name w:val="Emphasis"/>
    <w:basedOn w:val="DefaultParagraphFont"/>
    <w:uiPriority w:val="20"/>
    <w:qFormat/>
    <w:rsid w:val="00536378"/>
    <w:rPr>
      <w:i/>
      <w:iCs/>
    </w:rPr>
  </w:style>
  <w:style w:type="paragraph" w:styleId="FootnoteText">
    <w:name w:val="footnote text"/>
    <w:basedOn w:val="Normal"/>
    <w:link w:val="FootnoteTextChar"/>
    <w:uiPriority w:val="99"/>
    <w:semiHidden/>
    <w:unhideWhenUsed/>
    <w:rsid w:val="005F4374"/>
    <w:rPr>
      <w:sz w:val="20"/>
      <w:szCs w:val="20"/>
    </w:rPr>
  </w:style>
  <w:style w:type="character" w:customStyle="1" w:styleId="FootnoteTextChar">
    <w:name w:val="Footnote Text Char"/>
    <w:basedOn w:val="DefaultParagraphFont"/>
    <w:link w:val="FootnoteText"/>
    <w:uiPriority w:val="99"/>
    <w:semiHidden/>
    <w:rsid w:val="005F4374"/>
    <w:rPr>
      <w:bdr w:val="none" w:sz="0" w:space="0" w:color="auto"/>
      <w:lang w:val="en-US" w:eastAsia="en-US"/>
    </w:rPr>
  </w:style>
  <w:style w:type="character" w:styleId="FootnoteReference">
    <w:name w:val="footnote reference"/>
    <w:basedOn w:val="DefaultParagraphFont"/>
    <w:uiPriority w:val="99"/>
    <w:semiHidden/>
    <w:unhideWhenUsed/>
    <w:rsid w:val="005F4374"/>
    <w:rPr>
      <w:vertAlign w:val="superscript"/>
    </w:rPr>
  </w:style>
  <w:style w:type="character" w:styleId="UnresolvedMention">
    <w:name w:val="Unresolved Mention"/>
    <w:basedOn w:val="DefaultParagraphFont"/>
    <w:uiPriority w:val="99"/>
    <w:semiHidden/>
    <w:unhideWhenUsed/>
    <w:rsid w:val="005F4374"/>
    <w:rPr>
      <w:color w:val="605E5C"/>
      <w:shd w:val="clear" w:color="auto" w:fill="E1DFDD"/>
    </w:rPr>
  </w:style>
  <w:style w:type="paragraph" w:styleId="Revision">
    <w:name w:val="Revision"/>
    <w:hidden/>
    <w:uiPriority w:val="99"/>
    <w:semiHidden/>
    <w:rsid w:val="005F43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character" w:styleId="CommentReference">
    <w:name w:val="annotation reference"/>
    <w:basedOn w:val="DefaultParagraphFont"/>
    <w:uiPriority w:val="99"/>
    <w:semiHidden/>
    <w:unhideWhenUsed/>
    <w:rsid w:val="005F4374"/>
    <w:rPr>
      <w:sz w:val="16"/>
      <w:szCs w:val="16"/>
    </w:rPr>
  </w:style>
  <w:style w:type="paragraph" w:styleId="CommentText">
    <w:name w:val="annotation text"/>
    <w:basedOn w:val="Normal"/>
    <w:link w:val="CommentTextChar"/>
    <w:uiPriority w:val="99"/>
    <w:unhideWhenUsed/>
    <w:rsid w:val="005F4374"/>
    <w:rPr>
      <w:sz w:val="20"/>
      <w:szCs w:val="20"/>
    </w:rPr>
  </w:style>
  <w:style w:type="character" w:customStyle="1" w:styleId="CommentTextChar">
    <w:name w:val="Comment Text Char"/>
    <w:basedOn w:val="DefaultParagraphFont"/>
    <w:link w:val="CommentText"/>
    <w:uiPriority w:val="99"/>
    <w:rsid w:val="005F4374"/>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5F4374"/>
    <w:rPr>
      <w:b/>
      <w:bCs/>
    </w:rPr>
  </w:style>
  <w:style w:type="character" w:customStyle="1" w:styleId="CommentSubjectChar">
    <w:name w:val="Comment Subject Char"/>
    <w:basedOn w:val="CommentTextChar"/>
    <w:link w:val="CommentSubject"/>
    <w:uiPriority w:val="99"/>
    <w:semiHidden/>
    <w:rsid w:val="005F4374"/>
    <w:rPr>
      <w:b/>
      <w:bCs/>
      <w:bdr w:val="none" w:sz="0" w:space="0" w:color="auto"/>
      <w:lang w:val="en-US" w:eastAsia="en-US"/>
    </w:rPr>
  </w:style>
  <w:style w:type="table" w:styleId="TableGrid">
    <w:name w:val="Table Grid"/>
    <w:basedOn w:val="TableNormal"/>
    <w:uiPriority w:val="39"/>
    <w:rsid w:val="009320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009"/>
    <w:pPr>
      <w:spacing w:before="100" w:beforeAutospacing="1" w:after="100" w:afterAutospacing="1"/>
    </w:pPr>
    <w:rPr>
      <w:rFonts w:eastAsia="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1.unep.org/resolutions/uploads/submission_-_sequencing_of_inc_work_eia_ci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P\Documents\SPREP\UNOC%20Virtual%20Workshop%201%20_%20Agenda%20(002)SNRe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935A-BD31-4D04-B1CA-786550E8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C:\Users\SPREP\Documents\SPREP\UNOC Virtual Workshop 1 _ Agenda (002)SNRev.dotx</Template>
  <TotalTime>1</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SPREP</dc:creator>
  <cp:lastModifiedBy>Karen Raubenheimer</cp:lastModifiedBy>
  <cp:revision>3</cp:revision>
  <cp:lastPrinted>2022-10-14T05:35:00Z</cp:lastPrinted>
  <dcterms:created xsi:type="dcterms:W3CDTF">2022-11-04T01:55:00Z</dcterms:created>
  <dcterms:modified xsi:type="dcterms:W3CDTF">2022-11-04T02:01:00Z</dcterms:modified>
</cp:coreProperties>
</file>